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806н от 17 ноября 2020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эксплуатации очистных сооружений водоотведения»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эксплуатации очистных сооружений водоотведения».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11 апреля 2014 г. № 232н «Об утверждении профессионального стандарта «Специалист по эксплуатации очистных сооружений водоотведения» (зарегистрирован Министерством юстиции Российской Федерации 29 мая 2014 г., регистрационный № 32484);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пункт 59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