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 291н от 12 мая 2022 г.</w:t>
      </w:r>
    </w:p>
    <w:p>
      <w:pPr>
        <w:pStyle w:val="Heading2"/>
        <w:rPr/>
      </w:pPr>
      <w:r>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pPr>
        <w:pStyle w:val="TextBody"/>
        <w:rPr/>
      </w:pPr>
      <w:r>
        <w:rPr/>
        <w:t>В соответствии с частями первой и третьей статьи 222 Трудового кодекса Российской Федерации (Собрание законодательства Российской Федерации, 2002, № 1, ст. 3; 2021, № 27, ст. 5139) и подпунктами 5.2.33 и 5.2.34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 р и к а з ы в а ю:</w:t>
      </w:r>
    </w:p>
    <w:p>
      <w:pPr>
        <w:pStyle w:val="TextBody"/>
        <w:numPr>
          <w:ilvl w:val="0"/>
          <w:numId w:val="1"/>
        </w:numPr>
        <w:tabs>
          <w:tab w:val="left" w:pos="0" w:leader="none"/>
        </w:tabs>
        <w:ind w:left="707" w:hanging="283"/>
        <w:rPr/>
      </w:pPr>
      <w:r>
        <w:rPr/>
        <w:t xml:space="preserve">Утвердить по согласованию с Министерством здравоохранения Российской Федерации и Федеральной службой по надзору в сфере защиты прав потребителей и благополучия человека: </w:t>
      </w:r>
    </w:p>
    <w:p>
      <w:pPr>
        <w:pStyle w:val="TextBody"/>
        <w:rPr/>
      </w:pPr>
      <w:r>
        <w:rPr/>
        <w:t>Перечень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согласно приложению № 1;</w:t>
      </w:r>
    </w:p>
    <w:p>
      <w:pPr>
        <w:pStyle w:val="TextBody"/>
        <w:rPr/>
      </w:pPr>
      <w:r>
        <w:rPr/>
        <w:t>Нормы и условия бесплатной выдачи молока или других равноценных пищевых продуктов согласно приложению № 2;</w:t>
      </w:r>
    </w:p>
    <w:p>
      <w:pPr>
        <w:pStyle w:val="TextBody"/>
        <w:rPr/>
      </w:pPr>
      <w:r>
        <w:rPr/>
        <w:t>Порядок осуществления компенсационной выплаты в размере, эквивалентном стоимости молока или других равноценных пищевых продуктов, согласно приложению № 3.</w:t>
      </w:r>
    </w:p>
    <w:p>
      <w:pPr>
        <w:pStyle w:val="TextBody"/>
        <w:numPr>
          <w:ilvl w:val="0"/>
          <w:numId w:val="2"/>
        </w:numPr>
        <w:tabs>
          <w:tab w:val="left" w:pos="0" w:leader="none"/>
        </w:tabs>
        <w:ind w:left="707" w:hanging="283"/>
        <w:rPr/>
      </w:pPr>
      <w:r>
        <w:rPr/>
        <w:t xml:space="preserve">Признать утратившими силу: </w:t>
      </w:r>
    </w:p>
    <w:p>
      <w:pPr>
        <w:pStyle w:val="TextBody"/>
        <w:rPr/>
      </w:pPr>
      <w:r>
        <w:rPr/>
        <w:t>приказ Министерства здравоохранения и социального развития Российской Федерации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 13795);</w:t>
      </w:r>
    </w:p>
    <w:p>
      <w:pPr>
        <w:pStyle w:val="TextBody"/>
        <w:rPr/>
      </w:pPr>
      <w:r>
        <w:rPr/>
        <w:t>приказ Министерства здравоохранения и социального развития Российской Федерации от 19 апреля 2010 г. № 245н «О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 г. № 45н» (зарегистрирован Министерством юстиции Российской Федерации 13 мая 2010 г., регистрационный № 17201);</w:t>
      </w:r>
    </w:p>
    <w:p>
      <w:pPr>
        <w:pStyle w:val="TextBody"/>
        <w:rPr/>
      </w:pPr>
      <w:r>
        <w:rPr/>
        <w:t xml:space="preserve">пункт 11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w:t>
        <w:br/>
        <w:t>15 мая 2014 г., регистрационный № 32284).</w:t>
      </w:r>
    </w:p>
    <w:p>
      <w:pPr>
        <w:pStyle w:val="TextBody"/>
        <w:numPr>
          <w:ilvl w:val="0"/>
          <w:numId w:val="3"/>
        </w:numPr>
        <w:tabs>
          <w:tab w:val="left" w:pos="0" w:leader="none"/>
        </w:tabs>
        <w:ind w:left="707" w:hanging="283"/>
        <w:rPr/>
      </w:pPr>
      <w:r>
        <w:rPr/>
        <w:t>Установить, что настоящий приказ вступает в силу с 1 сентября 2022 г.</w:t>
        <w:br/>
        <w:t xml:space="preserve">и действует до 1 сентября 2028 г. </w:t>
      </w:r>
    </w:p>
    <w:p>
      <w:pPr>
        <w:pStyle w:val="TextBody"/>
        <w:rPr/>
      </w:pPr>
      <w:r>
        <w:rPr/>
        <w:t> </w:t>
      </w:r>
    </w:p>
    <w:p>
      <w:pPr>
        <w:pStyle w:val="TextBody"/>
        <w:spacing w:before="0" w:after="283"/>
        <w:rPr/>
      </w:pPr>
      <w:r>
        <w:rPr/>
        <w:t>Министр     А.О. Котяков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