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16 октября 2008 г.</w:t>
      </w:r>
    </w:p>
    <w:p>
      <w:pPr>
        <w:pStyle w:val="Heading2"/>
        <w:rPr/>
      </w:pPr>
      <w:r>
        <w:rPr/>
        <w:t>«Приоритетные направления деятельности Фонда поддержки детей, находящихся в трудной жизненной ситуации, на 2008-2010 годы»</w:t>
      </w:r>
    </w:p>
    <w:p>
      <w:pPr>
        <w:pStyle w:val="TextBody"/>
        <w:rPr>
          <w:i/>
        </w:rPr>
      </w:pPr>
      <w:r>
        <w:rPr>
          <w:i/>
        </w:rPr>
        <w:t xml:space="preserve">Утверждены решением заседания Попечительского совета Фонда от 16 октября 2008 года. </w:t>
      </w:r>
    </w:p>
    <w:p>
      <w:pPr>
        <w:pStyle w:val="TextBody"/>
        <w:rPr/>
      </w:pPr>
      <w:r>
        <w:rPr/>
        <w:t xml:space="preserve">Фонд поддержки детей, находящихся в трудной жизненной ситуации, создан в соответствии с Указом Президента Российской Федерации от 26 марта 2008 г. № 404 «О создании Фонда поддержки детей, находящихся в трудной жизненной ситуации». </w:t>
      </w:r>
    </w:p>
    <w:p>
      <w:pPr>
        <w:pStyle w:val="TextBody"/>
        <w:rPr/>
      </w:pPr>
      <w:r>
        <w:rPr/>
        <w:t>25 августа 2008 г. Фонд зарегистрирован в Министерстве юстиции Российской Федерации.</w:t>
      </w:r>
    </w:p>
    <w:p>
      <w:pPr>
        <w:pStyle w:val="TextBody"/>
        <w:rPr/>
      </w:pPr>
      <w:r>
        <w:rPr/>
        <w:t xml:space="preserve">Настоящие Приоритетные направления деятельности Фонда поддержки детей, находящихся в трудной жизненной ситуации, подготовлены во исполнение положений Устава Фонда для обеспечения достижения целей и выполнения основных задач Фонда. </w:t>
      </w:r>
    </w:p>
    <w:p>
      <w:pPr>
        <w:pStyle w:val="TextBody"/>
        <w:rPr/>
      </w:pPr>
      <w:r>
        <w:rPr/>
        <w:t>Документ определяет основные направления работы Фонда, группы населения, которым помощь будет оказываться в приоритетном порядке, основные принципы и механизмы деятельности Фонда по оказанию поддержки детям, находящимся в трудной жизненной ситуации.</w:t>
      </w:r>
    </w:p>
    <w:p>
      <w:pPr>
        <w:pStyle w:val="TextBody"/>
        <w:rPr/>
      </w:pPr>
      <w:r>
        <w:rPr>
          <w:rStyle w:val="StrongEmphasis"/>
        </w:rPr>
        <w:t>1. Введение</w:t>
      </w:r>
    </w:p>
    <w:p>
      <w:pPr>
        <w:pStyle w:val="TextBody"/>
        <w:rPr/>
      </w:pPr>
      <w:r>
        <w:rPr>
          <w:rStyle w:val="StrongEmphasis"/>
        </w:rPr>
        <w:t>1.1. Проблемы, требующие принятия неотложных мер по улучшению положения детей</w:t>
      </w:r>
    </w:p>
    <w:p>
      <w:pPr>
        <w:pStyle w:val="TextBody"/>
        <w:rPr/>
      </w:pPr>
      <w:r>
        <w:rPr/>
        <w:t xml:space="preserve">В последние годы деятельность по улучшению положения детей значительно активизировалась как в содержательном плане, так и в ресурсном обеспечении. В большинстве случаев новые меры поддержки адресованы детям, находящимся в трудной жизненной ситуации. </w:t>
      </w:r>
    </w:p>
    <w:p>
      <w:pPr>
        <w:pStyle w:val="TextBody"/>
        <w:rPr/>
      </w:pPr>
      <w:r>
        <w:rPr/>
        <w:t>В ряде регионов и учреждений выработаны и успешно применяются новые эффективные методики профилактики социального сиротства, безнадзорности детей, семейного устройства детей-сирот и детей, оставшихся без попечения родителей, социальной реабилитации детей-инвалидов, помощи семьям и детям в трудной жизненной ситуации.</w:t>
      </w:r>
    </w:p>
    <w:p>
      <w:pPr>
        <w:pStyle w:val="TextBody"/>
        <w:rPr/>
      </w:pPr>
      <w:r>
        <w:rPr/>
        <w:t xml:space="preserve">Несмотря на это, фундаментальные условия социального благополучия детей, такие как соблюдение права ребенка жить и воспитываться в семье, права детей на защиту от нищеты и лишений, жестокого обращения в семье, права детей-инвалидов на социальную интеграцию и всестороннее развитие без какой-либо дискриминации, права детей, находящихся в конфликте с законом, на социальную реабилитацию, в полной мере пока не обеспечены. </w:t>
      </w:r>
    </w:p>
    <w:p>
      <w:pPr>
        <w:pStyle w:val="TextBody"/>
        <w:rPr/>
      </w:pPr>
      <w:r>
        <w:rPr>
          <w:rStyle w:val="StrongEmphasis"/>
        </w:rPr>
        <w:t>1.2. Причинами этого являются:</w:t>
      </w:r>
    </w:p>
    <w:p>
      <w:pPr>
        <w:pStyle w:val="TextBody"/>
        <w:rPr/>
      </w:pPr>
      <w:r>
        <w:rPr/>
        <w:t>долговременный характер проблем, обусловленный неблагоприятной социально-экономической ситуацией в России в конце XX века;</w:t>
      </w:r>
    </w:p>
    <w:p>
      <w:pPr>
        <w:pStyle w:val="TextBody"/>
        <w:rPr/>
      </w:pPr>
      <w:r>
        <w:rPr/>
        <w:t>передача полномочий по социальной поддержке детей и семей с детьми субъектам Российской Федерации в условиях больших различий в уровнях экономического развития российских регионов при отсутствии эффективного механизма координации деятельности регионов по этим направлениям, выявления, распространения и внедрения лучшего опыта работы;</w:t>
      </w:r>
    </w:p>
    <w:p>
      <w:pPr>
        <w:pStyle w:val="TextBody"/>
        <w:rPr/>
      </w:pPr>
      <w:r>
        <w:rPr/>
        <w:t xml:space="preserve">дефицит средств региональных бюджетов, препятствующий выделению достаточных финансовых ресурсов, необходимых для перехода к эффективным моделям организации профилактики попадания детей в трудную жизненную ситуацию и их социальной защиты. </w:t>
      </w:r>
    </w:p>
    <w:p>
      <w:pPr>
        <w:pStyle w:val="TextBody"/>
        <w:rPr/>
      </w:pPr>
      <w:r>
        <w:rPr>
          <w:rStyle w:val="StrongEmphasis"/>
        </w:rPr>
        <w:t>1.3. В результате:</w:t>
      </w:r>
    </w:p>
    <w:p>
      <w:pPr>
        <w:pStyle w:val="TextBody"/>
        <w:rPr/>
      </w:pPr>
      <w:r>
        <w:rPr/>
        <w:t>растет семейное неблагополучие и число лишений родительских прав;</w:t>
      </w:r>
    </w:p>
    <w:p>
      <w:pPr>
        <w:pStyle w:val="TextBody"/>
        <w:rPr/>
      </w:pPr>
      <w:r>
        <w:rPr/>
        <w:t>на учете в органах социальной защиты населения в 2007 г. состояло 274,8 тыс. семей в трудной жизненной ситуации, в которых воспитывалось 489,5 тыс. детей;</w:t>
      </w:r>
    </w:p>
    <w:p>
      <w:pPr>
        <w:pStyle w:val="TextBody"/>
        <w:rPr/>
      </w:pPr>
      <w:r>
        <w:rPr/>
        <w:t>в 2007 г. численность детей, отобранных у родителей, лишенных родительских прав, составила 77,4 тыс. человек или 145,9% к уровню 2000</w:t>
      </w:r>
      <w:r>
        <w:rPr>
          <w:rStyle w:val="StrongEmphasis"/>
        </w:rPr>
        <w:t xml:space="preserve"> </w:t>
      </w:r>
      <w:r>
        <w:rPr/>
        <w:t>г.; число удовлетворенных исков по делам о лишении родительских прав возросло по сравнению с 2000 г. на 52,8% и составило 65,6 тыс.;</w:t>
      </w:r>
    </w:p>
    <w:p>
      <w:pPr>
        <w:pStyle w:val="TextBody"/>
        <w:rPr/>
      </w:pPr>
      <w:r>
        <w:rPr/>
        <w:t>остается высоким число детей-сирот и детей, оставшихся без попечения родителей;</w:t>
      </w:r>
    </w:p>
    <w:p>
      <w:pPr>
        <w:pStyle w:val="TextBody"/>
        <w:rPr/>
      </w:pPr>
      <w:r>
        <w:rPr/>
        <w:t>на конец 2007 г. учтено 712,1 тыс. детей-сирот и детей, оставшихся без попечения родителей (из них 570,7 тыс. детей, воспитывается в семьях усыновителей, опекунов, приемных родителей); ежегодно выявляется более 120 тыс. детей-сирот и детей, оставшихся без попечения родителей;</w:t>
      </w:r>
    </w:p>
    <w:p>
      <w:pPr>
        <w:pStyle w:val="TextBody"/>
        <w:rPr/>
      </w:pPr>
      <w:r>
        <w:rPr/>
        <w:t>значительное число детей-сирот по-прежнему воспитывается в интернатных учреждениях, что лишает таких детей возможности успешной социализации;</w:t>
      </w:r>
    </w:p>
    <w:p>
      <w:pPr>
        <w:pStyle w:val="TextBody"/>
        <w:rPr/>
      </w:pPr>
      <w:r>
        <w:rPr/>
        <w:t>численность детей-сирот и детей, оставшихся без попечения родителей, воспитывающихся в интернатных учреждениях различного типа, составила в 2007 г. 156 тыс. человек или 0,59% численности детского населения (0-17 лет). Для сравнения – в 1990 г. этот показатель составлял 0,35%, в 2000 г. – 0,55%, в 2004-2005 гг. – 0,65%;</w:t>
      </w:r>
    </w:p>
    <w:p>
      <w:pPr>
        <w:pStyle w:val="TextBody"/>
        <w:rPr/>
      </w:pPr>
      <w:r>
        <w:rPr/>
        <w:t>дети подвергаются преступным посягательствам взрослых, в том числе членов семьи; не снижается численность родителей, состоящих на учете в органах внутренних дел в связи с ненадлежащим воспитанием детей;</w:t>
      </w:r>
    </w:p>
    <w:p>
      <w:pPr>
        <w:pStyle w:val="TextBody"/>
        <w:rPr/>
      </w:pPr>
      <w:r>
        <w:rPr/>
        <w:t>по данным МВД России в 2007 г. зарегистрировано более 161,6 тыс. несовершеннолетних, потерпевших от преступных посягательств, 2,5 тыс. из них погибло, а 2,8 тыс. получило тяжкий вред здоровью;</w:t>
      </w:r>
    </w:p>
    <w:p>
      <w:pPr>
        <w:pStyle w:val="TextBody"/>
        <w:rPr/>
      </w:pPr>
      <w:r>
        <w:rPr/>
        <w:t>на конец 2007 г. на учете в органах внутренних дел состояло 172,6 тыс. родителей или законных представителей несовершеннолетних, отрицательно влияющих на детей. Также на учете в подразделениях по делам несовершеннолетних состояло 334,4 тыс. детей и подростков;</w:t>
      </w:r>
    </w:p>
    <w:p>
      <w:pPr>
        <w:pStyle w:val="TextBody"/>
        <w:rPr/>
      </w:pPr>
      <w:r>
        <w:rPr/>
        <w:t>высок уровень подростковой преступности и правонарушений, вовлечения детей в преступную деятельность.</w:t>
      </w:r>
    </w:p>
    <w:p>
      <w:pPr>
        <w:pStyle w:val="TextBody"/>
        <w:rPr/>
      </w:pPr>
      <w:r>
        <w:rPr/>
        <w:t>в 2007 г. органами милиции учтено 132 тыс. детей и подростков, совершивших преступления. При этом уровень преступности среди подростков 14-15 лет составил 1,22% (в 2002 г. – 0,8%), среди подростков 16-17 лет - 2,4% (в 2002 г. – 1,98%).</w:t>
      </w:r>
    </w:p>
    <w:p>
      <w:pPr>
        <w:pStyle w:val="TextBody"/>
        <w:rPr/>
      </w:pPr>
      <w:r>
        <w:rPr>
          <w:rStyle w:val="StrongEmphasis"/>
        </w:rPr>
        <w:t>2. Миссия Фонда</w:t>
      </w:r>
    </w:p>
    <w:p>
      <w:pPr>
        <w:pStyle w:val="TextBody"/>
        <w:rPr/>
      </w:pPr>
      <w:r>
        <w:rPr>
          <w:rStyle w:val="StrongEmphasis"/>
        </w:rPr>
        <w:t>Создание нового механизма управления, позволяющего в условиях разделения полномочий между федеральным центром и субъектами Российской Федерации значительно сократить распространенность социального неблагополучия детей и семей с детьми, стимулировать развитие эффективных форм и методов работы с нуждающимися в помощи семьями и детьми.</w:t>
      </w:r>
    </w:p>
    <w:p>
      <w:pPr>
        <w:pStyle w:val="TextBody"/>
        <w:rPr/>
      </w:pPr>
      <w:r>
        <w:rPr/>
        <w:t>Деятельность Фонда должна содействовать выполнению политических задач, выдвинутых в посланиях Президента Российской Федерации Федеральному Собранию Российской Федерации в 2006 и 2007 годах, Концепции демографической политики Российской Федерации на период до 2015 года, улучшению демографической ситуации и положению детей и семей с детьми.</w:t>
      </w:r>
    </w:p>
    <w:p>
      <w:pPr>
        <w:pStyle w:val="TextBody"/>
        <w:rPr/>
      </w:pPr>
      <w:r>
        <w:rPr>
          <w:rStyle w:val="StrongEmphasis"/>
        </w:rPr>
        <w:t>3. Ниша Фонда (отличие от действующих институтов):</w:t>
      </w:r>
    </w:p>
    <w:p>
      <w:pPr>
        <w:pStyle w:val="TextBody"/>
        <w:rPr/>
      </w:pPr>
      <w:r>
        <w:rPr/>
        <w:t>содействие развитию межведомственной и межсекторной координации в решении проблем детского неблагополучия как на федеральном уровне, так и на уровне субъектов Российской Федерации, выработка успешных моделей построения такой работы на местном уровне (создание реальной сети безопасности для ребенка);</w:t>
      </w:r>
    </w:p>
    <w:p>
      <w:pPr>
        <w:pStyle w:val="TextBody"/>
        <w:rPr/>
      </w:pPr>
      <w:r>
        <w:rPr/>
        <w:t>выявление, распространение и поддержка лучших практик работы;</w:t>
      </w:r>
    </w:p>
    <w:p>
      <w:pPr>
        <w:pStyle w:val="TextBody"/>
        <w:rPr/>
      </w:pPr>
      <w:r>
        <w:rPr/>
        <w:t>продвижение программно-целевого подхода в решении задач по улучшению положения детей;</w:t>
      </w:r>
    </w:p>
    <w:p>
      <w:pPr>
        <w:pStyle w:val="TextBody"/>
        <w:rPr/>
      </w:pPr>
      <w:r>
        <w:rPr/>
        <w:t xml:space="preserve">целенаправленное содействие инфраструктурным изменениям, необходимым для сокращения распространенности детского неблагополучия; </w:t>
      </w:r>
    </w:p>
    <w:p>
      <w:pPr>
        <w:pStyle w:val="TextBody"/>
        <w:rPr/>
      </w:pPr>
      <w:r>
        <w:rPr/>
        <w:t>содействие сокращению разрыва между территориями в организации социальной работы с детьми, находящимися в трудной жизненной ситуации;</w:t>
      </w:r>
    </w:p>
    <w:p>
      <w:pPr>
        <w:pStyle w:val="TextBody"/>
        <w:rPr/>
      </w:pPr>
      <w:r>
        <w:rPr/>
        <w:t>поддержка профессиональных сообществ специалистов, работающих с детьми, находящимися в трудной жизненной ситуации.</w:t>
      </w:r>
    </w:p>
    <w:p>
      <w:pPr>
        <w:pStyle w:val="TextBody"/>
        <w:rPr/>
      </w:pPr>
      <w:r>
        <w:rPr>
          <w:rStyle w:val="StrongEmphasis"/>
        </w:rPr>
        <w:t>4. Основные направления работы Фонда:</w:t>
      </w:r>
    </w:p>
    <w:p>
      <w:pPr>
        <w:pStyle w:val="TextBody"/>
        <w:rPr/>
      </w:pPr>
      <w:r>
        <w:rPr/>
        <w:t>реализация программ поддержки детей в трудной жизненной ситуации;</w:t>
      </w:r>
    </w:p>
    <w:p>
      <w:pPr>
        <w:pStyle w:val="TextBody"/>
        <w:rPr/>
      </w:pPr>
      <w:r>
        <w:rPr/>
        <w:t>привлечение финансовых средств для выполнения уставных задач.</w:t>
      </w:r>
    </w:p>
    <w:p>
      <w:pPr>
        <w:pStyle w:val="TextBody"/>
        <w:rPr/>
      </w:pPr>
      <w:r>
        <w:rPr>
          <w:rStyle w:val="StrongEmphasis"/>
        </w:rPr>
        <w:t>5. Реализация программ поддержки детей в трудной жизненной ситуации</w:t>
      </w:r>
    </w:p>
    <w:p>
      <w:pPr>
        <w:pStyle w:val="TextBody"/>
        <w:rPr/>
      </w:pPr>
      <w:r>
        <w:rPr>
          <w:rStyle w:val="StrongEmphasis"/>
        </w:rPr>
        <w:t>5.1. Приоритетные программные направления:</w:t>
      </w:r>
    </w:p>
    <w:p>
      <w:pPr>
        <w:pStyle w:val="TextBody"/>
        <w:rPr/>
      </w:pPr>
      <w:r>
        <w:rPr/>
        <w:t>профилактика семейного неблагополучия и социального сиротства детей, восстановление благоприятной для воспитания ребенка семейной среды, семейное устройство детей-сирот и детей, оставшихся без попечения родителей;</w:t>
      </w:r>
    </w:p>
    <w:p>
      <w:pPr>
        <w:pStyle w:val="TextBody"/>
        <w:rPr/>
      </w:pPr>
      <w:r>
        <w:rPr/>
        <w:t>социальная поддержка семей с детьми-инвалидами для обеспечения максимально возможного развития таких детей в условиях семейного воспитания, их социализации, подготовки к самостоятельной жизни и интеграции в общество;</w:t>
      </w:r>
    </w:p>
    <w:p>
      <w:pPr>
        <w:pStyle w:val="TextBody"/>
        <w:rPr/>
      </w:pPr>
      <w:r>
        <w:rPr/>
        <w:t>социальная реабилитация детей, находящихся в конфликте с законом (совершивших правонарушения и преступления), профилактика безнадзорности и беспризорности детей, преступности несовершеннолетних, в том числе повторной.</w:t>
      </w:r>
    </w:p>
    <w:p>
      <w:pPr>
        <w:pStyle w:val="TextBody"/>
        <w:rPr/>
      </w:pPr>
      <w:r>
        <w:rPr>
          <w:rStyle w:val="StrongEmphasis"/>
        </w:rPr>
        <w:t>5.2. Принципы работы с целевыми группами программ:</w:t>
      </w:r>
    </w:p>
    <w:p>
      <w:pPr>
        <w:pStyle w:val="TextBody"/>
        <w:rPr/>
      </w:pPr>
      <w:r>
        <w:rPr/>
        <w:t>работа с ребенком через семью;</w:t>
      </w:r>
    </w:p>
    <w:p>
      <w:pPr>
        <w:pStyle w:val="TextBody"/>
        <w:rPr/>
      </w:pPr>
      <w:r>
        <w:rPr/>
        <w:t>профилактика и раннее выявление социального неблагополучия ребенка, семьи;</w:t>
      </w:r>
    </w:p>
    <w:p>
      <w:pPr>
        <w:pStyle w:val="TextBody"/>
        <w:rPr/>
      </w:pPr>
      <w:r>
        <w:rPr/>
        <w:t>индивидуальное социальное сопровождение ребенка, семьи, формирование института сопровождения сложных жизненных ситуаций.</w:t>
      </w:r>
    </w:p>
    <w:p>
      <w:pPr>
        <w:pStyle w:val="TextBody"/>
        <w:rPr/>
      </w:pPr>
      <w:r>
        <w:rPr>
          <w:rStyle w:val="StrongEmphasis"/>
        </w:rPr>
        <w:t>5.3. Финансирование программ следующих уровней:</w:t>
      </w:r>
    </w:p>
    <w:p>
      <w:pPr>
        <w:pStyle w:val="TextBody"/>
        <w:rPr/>
      </w:pPr>
      <w:r>
        <w:rPr/>
        <w:t>системные долговременные программы по приоритетным направлениям работы Фонда при участии в них субъектов Российской Федерации в соответствии со сформированными критериями; ротация регионов-участников программ; поэтапное расширение перечня программ.</w:t>
      </w:r>
    </w:p>
    <w:p>
      <w:pPr>
        <w:pStyle w:val="TextBody"/>
        <w:rPr/>
      </w:pPr>
      <w:r>
        <w:rPr/>
        <w:t xml:space="preserve">Минимальная продолжительность программы для субъекта Российской Федерации - 3-4 года. Минимальное число регионов, участвующих в программе на первом этапе – 10-15. При последовательном поэтапном включении в программу большей части субъектов Российской Федерации в соответствии с принципом ротации общая продолжительность программы до 6-8 лет. </w:t>
      </w:r>
    </w:p>
    <w:p>
      <w:pPr>
        <w:pStyle w:val="TextBody"/>
        <w:rPr/>
      </w:pPr>
      <w:r>
        <w:rPr/>
        <w:t>программы (проекты) субъектов Российской Федерации, реализуемые как государственными, так и некоммерческими организациями, при формировании в рамках таких программ эффективных путей решения проблем детского неблагополучия.</w:t>
      </w:r>
    </w:p>
    <w:p>
      <w:pPr>
        <w:pStyle w:val="TextBody"/>
        <w:rPr/>
      </w:pPr>
      <w:r>
        <w:rPr/>
        <w:t>Продолжительность программ (проектов) – от 2 до 3 лет.</w:t>
      </w:r>
    </w:p>
    <w:p>
      <w:pPr>
        <w:pStyle w:val="TextBody"/>
        <w:rPr/>
      </w:pPr>
      <w:r>
        <w:rPr/>
        <w:t xml:space="preserve">программы (проекты) «экспериментальных площадок» (муниципальных образований, учреждений и организаций, в том числе некоммерческих) для практической отработки новых моделей и методик работы с детьми, родителями, специалистами и иным аспектам улучшения положения детей, находящихся в трудной жизненной ситуации. </w:t>
      </w:r>
    </w:p>
    <w:p>
      <w:pPr>
        <w:pStyle w:val="TextBody"/>
        <w:rPr/>
      </w:pPr>
      <w:r>
        <w:rPr/>
        <w:t>Продолжительность проектов – от 1 до 3 лет.</w:t>
      </w:r>
    </w:p>
    <w:p>
      <w:pPr>
        <w:pStyle w:val="TextBody"/>
        <w:rPr/>
      </w:pPr>
      <w:r>
        <w:rPr/>
        <w:t>собственные программы (проекты) Фонда, обеспечивающие обобщение и распространение положительного опыта, экспертно-аналитическое сопровождение системных изменений в деятельности по улучшению положения детей, содействующих внедрению эффективных моделей в практику управления.</w:t>
      </w:r>
    </w:p>
    <w:p>
      <w:pPr>
        <w:pStyle w:val="TextBody"/>
        <w:rPr/>
      </w:pPr>
      <w:r>
        <w:rPr>
          <w:rStyle w:val="StrongEmphasis"/>
        </w:rPr>
        <w:t>5.4. Подходы к формированию системных долговременных программ:</w:t>
      </w:r>
    </w:p>
    <w:p>
      <w:pPr>
        <w:pStyle w:val="TextBody"/>
        <w:rPr/>
      </w:pPr>
      <w:r>
        <w:rPr/>
        <w:t>общенациональный характер стоящей задачи;</w:t>
      </w:r>
    </w:p>
    <w:p>
      <w:pPr>
        <w:pStyle w:val="TextBody"/>
        <w:rPr/>
      </w:pPr>
      <w:r>
        <w:rPr/>
        <w:t>необходимость изменений инфраструктуры;</w:t>
      </w:r>
    </w:p>
    <w:p>
      <w:pPr>
        <w:pStyle w:val="TextBody"/>
        <w:rPr/>
      </w:pPr>
      <w:r>
        <w:rPr/>
        <w:t>межведомственный подход, взаимодействие с институтами гражданского общества;</w:t>
      </w:r>
    </w:p>
    <w:p>
      <w:pPr>
        <w:pStyle w:val="TextBody"/>
        <w:rPr/>
      </w:pPr>
      <w:r>
        <w:rPr/>
        <w:t>долговременный социально-экономический эффект при достижении цели программы.</w:t>
      </w:r>
    </w:p>
    <w:p>
      <w:pPr>
        <w:pStyle w:val="TextBody"/>
        <w:rPr/>
      </w:pPr>
      <w:r>
        <w:rPr>
          <w:rStyle w:val="StrongEmphasis"/>
        </w:rPr>
        <w:t>5.5. Подходы к отбору программ (проектов) субъектов Российской Федерации для финансирования их Фондом:</w:t>
      </w:r>
    </w:p>
    <w:p>
      <w:pPr>
        <w:pStyle w:val="TextBody"/>
        <w:rPr/>
      </w:pPr>
      <w:r>
        <w:rPr/>
        <w:t>конкурсный отбор программ на основе разработанных формализованных требований, максимальная простота и прозрачность конкурсных процедур;</w:t>
      </w:r>
    </w:p>
    <w:p>
      <w:pPr>
        <w:pStyle w:val="TextBody"/>
        <w:rPr/>
      </w:pPr>
      <w:r>
        <w:rPr/>
        <w:t xml:space="preserve">комплексный характер программ, нацеленность на укрупненные темы (зонтичный характер программ); </w:t>
      </w:r>
    </w:p>
    <w:p>
      <w:pPr>
        <w:pStyle w:val="TextBody"/>
        <w:rPr/>
      </w:pPr>
      <w:r>
        <w:rPr/>
        <w:t>эффективность программ и четкая обоснованность получения заявленного результата;</w:t>
      </w:r>
    </w:p>
    <w:p>
      <w:pPr>
        <w:pStyle w:val="TextBody"/>
        <w:rPr/>
      </w:pPr>
      <w:r>
        <w:rPr/>
        <w:t>возможность тиражирования программ (опыт должен быть воспроизводим при применении предлагаемой программой технологии работы);</w:t>
      </w:r>
    </w:p>
    <w:p>
      <w:pPr>
        <w:pStyle w:val="TextBody"/>
        <w:rPr/>
      </w:pPr>
      <w:r>
        <w:rPr/>
        <w:t>участие неправительственных организаций (добровольческих, благотворительных, иных общественных организаций), работающих в сфере поддержки семей и детей в трудной жизненной ситуации;</w:t>
      </w:r>
    </w:p>
    <w:p>
      <w:pPr>
        <w:pStyle w:val="TextBody"/>
        <w:rPr/>
      </w:pPr>
      <w:r>
        <w:rPr/>
        <w:t xml:space="preserve">поддержка семей и детей услугами, направленными на укрепление собственного потенциала семей; </w:t>
      </w:r>
    </w:p>
    <w:p>
      <w:pPr>
        <w:pStyle w:val="TextBody"/>
        <w:rPr/>
      </w:pPr>
      <w:r>
        <w:rPr/>
        <w:t>долевое финансирование программ (не менее 70-80% общего объема бюджета программы) за счет средств субъектов Российской Федерации и привлеченных ими средств партнеров из числа коммерческих и некоммерческих организаций;</w:t>
      </w:r>
    </w:p>
    <w:p>
      <w:pPr>
        <w:pStyle w:val="TextBody"/>
        <w:rPr/>
      </w:pPr>
      <w:r>
        <w:rPr/>
        <w:t xml:space="preserve">обязательства по продолжению программ после прекращения финансирования программ Фондом (обеспечение устойчивости программ). </w:t>
      </w:r>
    </w:p>
    <w:p>
      <w:pPr>
        <w:pStyle w:val="TextBody"/>
        <w:rPr/>
      </w:pPr>
      <w:r>
        <w:rPr>
          <w:rStyle w:val="StrongEmphasis"/>
        </w:rPr>
        <w:t>5.6. Подходы к отбору «экспериментальных площадок» для финансирования их Фондом:</w:t>
      </w:r>
    </w:p>
    <w:p>
      <w:pPr>
        <w:pStyle w:val="TextBody"/>
        <w:rPr/>
      </w:pPr>
      <w:r>
        <w:rPr/>
        <w:t>разработка инновационных методик, технологий и моделей работы по приоритетным направлениям деятельности Фонда;</w:t>
      </w:r>
    </w:p>
    <w:p>
      <w:pPr>
        <w:pStyle w:val="TextBody"/>
        <w:rPr/>
      </w:pPr>
      <w:r>
        <w:rPr/>
        <w:t>практическая значимость предлагаемой программы (проекта) с точки зрения решения проблем ребенка, попавшего в трудную жизненную ситуацию;</w:t>
      </w:r>
    </w:p>
    <w:p>
      <w:pPr>
        <w:pStyle w:val="TextBody"/>
        <w:rPr/>
      </w:pPr>
      <w:r>
        <w:rPr/>
        <w:t xml:space="preserve">запрос на финансирование программы (проекта) Фондом в объеме не более 2 млн. рублей. </w:t>
      </w:r>
    </w:p>
    <w:p>
      <w:pPr>
        <w:pStyle w:val="TextBody"/>
        <w:rPr/>
      </w:pPr>
      <w:r>
        <w:rPr>
          <w:rStyle w:val="StrongEmphasis"/>
        </w:rPr>
        <w:t xml:space="preserve">5.7. Подходы к формированию собственных программ Фонда: </w:t>
      </w:r>
    </w:p>
    <w:p>
      <w:pPr>
        <w:pStyle w:val="TextBody"/>
        <w:rPr/>
      </w:pPr>
      <w:r>
        <w:rPr/>
        <w:t>выявление факторов, обусловливающих попадание детей в трудную жизненную ситуацию (собственные исследования, постоянные консультации с экспертным сообществом, включая создание постоянно действующего экспертного совета при Фонде);</w:t>
      </w:r>
    </w:p>
    <w:p>
      <w:pPr>
        <w:pStyle w:val="TextBody"/>
        <w:rPr/>
      </w:pPr>
      <w:r>
        <w:rPr/>
        <w:t>выявление, поддержка и распространение лучших практик работы;</w:t>
      </w:r>
    </w:p>
    <w:p>
      <w:pPr>
        <w:pStyle w:val="TextBody"/>
        <w:rPr/>
      </w:pPr>
      <w:r>
        <w:rPr/>
        <w:t>продвижение современных управленческих технологий, обеспечивающих системное проектирование и постоянное обучение кадров;</w:t>
      </w:r>
    </w:p>
    <w:p>
      <w:pPr>
        <w:pStyle w:val="TextBody"/>
        <w:rPr/>
      </w:pPr>
      <w:r>
        <w:rPr/>
        <w:t>поддержка становления и укрепления профессиональных сообществ специалистов, оказывающих помощь детям и семьям в трудных жизненных ситуациях (проведение обучения, съездов, конференций и пр.);</w:t>
      </w:r>
    </w:p>
    <w:p>
      <w:pPr>
        <w:pStyle w:val="TextBody"/>
        <w:rPr/>
      </w:pPr>
      <w:r>
        <w:rPr/>
        <w:t>поддержка инициатив общественных объединений, добровольческих сообществ, деятельность которых направлена на поддержку детей и соответствует приоритетным направлениям деятельности Фонда;</w:t>
      </w:r>
    </w:p>
    <w:p>
      <w:pPr>
        <w:pStyle w:val="TextBody"/>
        <w:rPr/>
      </w:pPr>
      <w:r>
        <w:rPr/>
        <w:t>формирование позитивного и конструктивного отношения общества к детям в трудной жизненной ситуации (детям-сиротам, детям-инвалидам, детям-правонарушителям и пр.) – работа со СМИ, сообществами предпринимателей, использование возможностей Интернета (создание сайта и пр.);</w:t>
      </w:r>
    </w:p>
    <w:p>
      <w:pPr>
        <w:pStyle w:val="TextBody"/>
        <w:rPr/>
      </w:pPr>
      <w:r>
        <w:rPr/>
        <w:t>оказание экстренной помощи детям в случаях природных и техногенных катастроф, в иных чрезвычайных ситуациях;</w:t>
      </w:r>
    </w:p>
    <w:p>
      <w:pPr>
        <w:pStyle w:val="TextBody"/>
        <w:rPr/>
      </w:pPr>
      <w:r>
        <w:rPr/>
        <w:t>создание ресурсного центра новых эффективных методик и технологий по работе с детьми в трудной жизненной ситуации, профилактике семейного неблагополучия.</w:t>
      </w:r>
    </w:p>
    <w:p>
      <w:pPr>
        <w:pStyle w:val="TextBody"/>
        <w:rPr/>
      </w:pPr>
      <w:r>
        <w:rPr>
          <w:rStyle w:val="StrongEmphasis"/>
        </w:rPr>
        <w:t>6. Привлечение финансовых средств для выполнения уставных задач</w:t>
      </w:r>
    </w:p>
    <w:p>
      <w:pPr>
        <w:pStyle w:val="TextBody"/>
        <w:rPr/>
      </w:pPr>
      <w:r>
        <w:rPr>
          <w:rStyle w:val="StrongEmphasis"/>
        </w:rPr>
        <w:t>6.1. Приоритетные направления деятельности Фонда по привлечению финансовых средств:</w:t>
      </w:r>
    </w:p>
    <w:p>
      <w:pPr>
        <w:pStyle w:val="TextBody"/>
        <w:rPr/>
      </w:pPr>
      <w:r>
        <w:rPr/>
        <w:t>формирование пула благотворителей из числа корпораций и физических лиц;</w:t>
      </w:r>
    </w:p>
    <w:p>
      <w:pPr>
        <w:pStyle w:val="TextBody"/>
        <w:rPr/>
      </w:pPr>
      <w:r>
        <w:rPr/>
        <w:t>формирование целевого капитала;</w:t>
      </w:r>
    </w:p>
    <w:p>
      <w:pPr>
        <w:pStyle w:val="TextBody"/>
        <w:rPr/>
      </w:pPr>
      <w:r>
        <w:rPr/>
        <w:t>эффективное размещение финансовых средств.</w:t>
      </w:r>
    </w:p>
    <w:p>
      <w:pPr>
        <w:pStyle w:val="TextBody"/>
        <w:rPr/>
      </w:pPr>
      <w:r>
        <w:rPr>
          <w:rStyle w:val="StrongEmphasis"/>
        </w:rPr>
        <w:t>6.2. Реализация указанных приоритетов основана на следующих принципах:</w:t>
      </w:r>
    </w:p>
    <w:p>
      <w:pPr>
        <w:pStyle w:val="TextBody"/>
        <w:rPr/>
      </w:pPr>
      <w:r>
        <w:rPr/>
        <w:t>информированность благотворителей о целях, задачах Фонда и конкретных результатах использования пожертвований;</w:t>
      </w:r>
    </w:p>
    <w:p>
      <w:pPr>
        <w:pStyle w:val="TextBody"/>
        <w:rPr/>
      </w:pPr>
      <w:r>
        <w:rPr/>
        <w:t>прозрачность финансовой деятельности Фонда, ежегодная публикация финансового отчета и отчета по реализованным программам;</w:t>
      </w:r>
    </w:p>
    <w:p>
      <w:pPr>
        <w:pStyle w:val="TextBody"/>
        <w:spacing w:before="0" w:after="283"/>
        <w:rPr/>
      </w:pPr>
      <w:r>
        <w:rPr/>
        <w:t>получение максимально возможной прибыли от размещения финансовых средств Фонда при обеспечении гарантии их сохранности.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