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Федеральный закон №272 от 16 октября 2010 г.</w:t>
      </w:r>
    </w:p>
    <w:p>
      <w:pPr>
        <w:pStyle w:val="Heading2"/>
        <w:rPr/>
      </w:pPr>
      <w:r>
        <w:rPr/>
        <w:t>«О внесении изменений в Федеральный Закон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и статью 33 Федерального Закона "Об обязательном пенсионном страховании в Российской Федерации"»</w:t>
      </w:r>
    </w:p>
    <w:p>
      <w:pPr>
        <w:pStyle w:val="TextBody"/>
        <w:rPr/>
      </w:pPr>
      <w:r>
        <w:rPr/>
        <w:t>Статья 1</w:t>
      </w:r>
    </w:p>
    <w:p>
      <w:pPr>
        <w:pStyle w:val="TextBody"/>
        <w:jc w:val="both"/>
        <w:rPr/>
      </w:pPr>
      <w:r>
        <w:rPr/>
        <w:t>Внести в Федеральный закон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3738; Российская газета, 2010, 30 сентября) следующие изменения:</w:t>
      </w:r>
    </w:p>
    <w:p>
      <w:pPr>
        <w:pStyle w:val="TextBody"/>
        <w:jc w:val="both"/>
        <w:rPr/>
      </w:pPr>
      <w:r>
        <w:rPr/>
        <w:t>1) часть 5 статьи 8 изложить в следующей редакции:</w:t>
      </w:r>
    </w:p>
    <w:p>
      <w:pPr>
        <w:pStyle w:val="TextBody"/>
        <w:jc w:val="both"/>
        <w:rPr/>
      </w:pPr>
      <w:r>
        <w:rPr/>
        <w:t>"5. Установленная частью 4 настоящей статьи предельная величина базы для начисления страховых взносов подлежит ежегодной (с 1 января соответствующего года) индексации с учетом роста средней заработной платы в Российской Федерации. Размер указанной предельной величины базы для начисления страховых взносов определяется и устанавливается Правительством Российской Федерации. Размер предельной величины базы для начисления страховых взносов округляется до полных тысяч рублей. При этом сумма 500 рублей и более округляется до полной тысячи рублей, а сумма менее 500 рублей отбрасывается.";</w:t>
      </w:r>
    </w:p>
    <w:p>
      <w:pPr>
        <w:pStyle w:val="TextBody"/>
        <w:jc w:val="both"/>
        <w:rPr/>
      </w:pPr>
      <w:r>
        <w:rPr/>
        <w:t>2) в части 2 статьи 12:</w:t>
      </w:r>
    </w:p>
    <w:p>
      <w:pPr>
        <w:pStyle w:val="TextBody"/>
        <w:jc w:val="both"/>
        <w:rPr/>
      </w:pPr>
      <w:r>
        <w:rPr/>
        <w:t>а) в пункте 3 слова "2,1 процента" заменить словами "с 1 января 2011 года - 3,1 процента, с 1 января 2012 года - 5,1 процента";</w:t>
      </w:r>
    </w:p>
    <w:p>
      <w:pPr>
        <w:pStyle w:val="TextBody"/>
        <w:jc w:val="both"/>
        <w:rPr/>
      </w:pPr>
      <w:r>
        <w:rPr/>
        <w:t>б) в пункте 4 слова "3 процента" заменить словами "с 1 января 2011 года - 2,0 процента, с 1 января 2012 года - 0,0 процента";</w:t>
      </w:r>
    </w:p>
    <w:p>
      <w:pPr>
        <w:pStyle w:val="TextBody"/>
        <w:jc w:val="both"/>
        <w:rPr/>
      </w:pPr>
      <w:r>
        <w:rPr/>
        <w:t>3) статью 33 дополнить частями 5 и 6 следующего содержания:</w:t>
      </w:r>
    </w:p>
    <w:p>
      <w:pPr>
        <w:pStyle w:val="TextBody"/>
        <w:jc w:val="both"/>
        <w:rPr/>
      </w:pPr>
      <w:r>
        <w:rPr/>
        <w:t>"5. В целях контроля за обоснованностью применения пониженных тарифов страховых взносов плательщиками страховых взносов, указанными в пункте 4 части 2 статьи 57 и пунктах 4 и 6 части 1 статьи 58 настоящего Федерального закона, налоговые органы по запросу органов контроля за уплатой страховых взносов:</w:t>
      </w:r>
    </w:p>
    <w:p>
      <w:pPr>
        <w:pStyle w:val="TextBody"/>
        <w:jc w:val="both"/>
        <w:rPr/>
      </w:pPr>
      <w:r>
        <w:rPr/>
        <w:t>1) предоставляют органам контроля за уплатой страховых взносов информацию, необходимую для проверки соблюдения требований, установленных пунктом 2 части 2.1, пунктом 2 части 2.2 статьи 57 и пунктом 2 части 4 статьи 58 настоящего Федерального закона;</w:t>
      </w:r>
    </w:p>
    <w:p>
      <w:pPr>
        <w:pStyle w:val="TextBody"/>
        <w:jc w:val="both"/>
        <w:rPr/>
      </w:pPr>
      <w:r>
        <w:rPr/>
        <w:t>2) участвуют вместе с органами контроля за уплатой страховых взносов в проводимых органами контроля за уплатой страховых взносов выездных проверках в части контроля за соблюдением требований, установленных пунктом 2 части 2.1 и пунктом 2 части 2.2 статьи 57 настоящего Федерального закона.</w:t>
      </w:r>
    </w:p>
    <w:p>
      <w:pPr>
        <w:pStyle w:val="TextBody"/>
        <w:jc w:val="both"/>
        <w:rPr/>
      </w:pPr>
      <w:r>
        <w:rPr/>
        <w:t>6. Информация, предусмотренная частью 5 настоящей статьи, передается налоговыми органами в органы контроля за уплатой страховых взносов в электронной форме в порядке, определяемом соглашением об информационном обмене, заключенным между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и Пенсионным фондом Российской Федерации, а также соглашением об информационном обмене, заключенным между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и Фондом социального страхования Российской Федерации.";</w:t>
      </w:r>
    </w:p>
    <w:p>
      <w:pPr>
        <w:pStyle w:val="TextBody"/>
        <w:jc w:val="both"/>
        <w:rPr/>
      </w:pPr>
      <w:r>
        <w:rPr/>
        <w:t>4) в статье 57:</w:t>
      </w:r>
    </w:p>
    <w:p>
      <w:pPr>
        <w:pStyle w:val="TextBody"/>
        <w:jc w:val="both"/>
        <w:rPr/>
      </w:pPr>
      <w:r>
        <w:rPr/>
        <w:t>а) часть 2 дополнить пунктом 4 следующего содержания:</w:t>
      </w:r>
    </w:p>
    <w:p>
      <w:pPr>
        <w:pStyle w:val="TextBody"/>
        <w:jc w:val="both"/>
        <w:rPr/>
      </w:pPr>
      <w:r>
        <w:rPr/>
        <w:t>"4) для организаций, осуществляющих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 которыми признаются российские организации, осуществляющие разработку и реализацию программ для ЭВМ, баз данных на материальном носителе или в электронном виде по каналам связи независимо от вида договора и (или) оказывающие услуги (выполняющие работы) по разработке, адаптации, модификации программ для ЭВМ, баз данных (программных средств и информационных продуктов вычислительной техники), установке, тестированию и сопровождению программ для ЭВМ, баз данных:</w:t>
      </w:r>
    </w:p>
    <w:p>
      <w:pPr>
        <w:pStyle w:val="TextBody"/>
        <w:rPr/>
      </w:pPr>
      <w:r>
        <w:rPr/>
        <w:t>б) дополнить частями 2.1 - 2.5 следующего содержания:</w:t>
      </w:r>
    </w:p>
    <w:p>
      <w:pPr>
        <w:pStyle w:val="TextBody"/>
        <w:rPr/>
      </w:pPr>
      <w:r>
        <w:rPr/>
        <w:t>"2.1. Организации, осуществляющие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 и вновь созданных организаций, осуществляющих деятельность в области информационных технологий), применяют тарифы страховых взносов, предусмотренные пунктом 4 части 2 настоящей статьи, при выполнении ими следующих условий:</w:t>
      </w:r>
    </w:p>
    <w:p>
      <w:pPr>
        <w:pStyle w:val="TextBody"/>
        <w:jc w:val="both"/>
        <w:rPr/>
      </w:pPr>
      <w:r>
        <w:rPr/>
        <w:t>1) организацией получен документ о государственной аккредитации организации, осуществляющей деятельность в области информационных технологий, в порядке, установленном Правительством Российской Федерации;</w:t>
      </w:r>
    </w:p>
    <w:p>
      <w:pPr>
        <w:pStyle w:val="TextBody"/>
        <w:jc w:val="both"/>
        <w:rPr/>
      </w:pPr>
      <w:r>
        <w:rPr/>
        <w:t>2) доля доходов от реализации экземпляров программ для ЭВМ, баз данных, передачи имущественных прав на программы для ЭВМ, базы данных,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а также услуг (работ) по установке, тестированию и сопровождению указанных программ для ЭВМ, баз данных по итогам девяти месяцев года, предшествующего году перехода организации на уплату страховых взносов по тарифам страховых взносов, предусмотренным пунктом 4 части 2 настоящей статьи, составляет не менее 90 процентов в сумме всех доходов организации за указанный период;</w:t>
      </w:r>
    </w:p>
    <w:p>
      <w:pPr>
        <w:pStyle w:val="TextBody"/>
        <w:jc w:val="both"/>
        <w:rPr/>
      </w:pPr>
      <w:r>
        <w:rPr/>
        <w:t>3) средняя численность работников, определяемая в порядке, устанавливаемом федеральным органом исполнительной власти, уполномоченным в области статистики, за девять месяцев года, предшествующего году перехода организации на уплату страховых взносов по тарифам страховых взносов, предусмотренным пунктом 4 части 2 настоящей статьи, составляет не менее 50 человек.</w:t>
      </w:r>
    </w:p>
    <w:p>
      <w:pPr>
        <w:pStyle w:val="TextBody"/>
        <w:jc w:val="both"/>
        <w:rPr/>
      </w:pPr>
      <w:r>
        <w:rPr/>
        <w:t>2.2. Вновь созданные организации, осуществляющие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 применяют тарифы страховых взносов, предусмотренные пунктом 4 части 2 настоящей статьи, при выполнении ими следующих условий:</w:t>
      </w:r>
    </w:p>
    <w:p>
      <w:pPr>
        <w:pStyle w:val="TextBody"/>
        <w:jc w:val="both"/>
        <w:rPr/>
      </w:pPr>
      <w:r>
        <w:rPr/>
        <w:t>1) организацией получен документ о государственной аккредитации организации, осуществляющей деятельность в области информационных технологий, в порядке, установленном Правительством Российской Федерации;</w:t>
      </w:r>
    </w:p>
    <w:p>
      <w:pPr>
        <w:pStyle w:val="TextBody"/>
        <w:jc w:val="both"/>
        <w:rPr/>
      </w:pPr>
      <w:r>
        <w:rPr/>
        <w:t>2) доля доходов от реализации экземпляров программ для ЭВМ, баз данных, передачи имущественных прав на программы для ЭВМ, базы данных,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а также услуг (работ) по установке, тестированию и сопровождению указанных программ для ЭВМ, баз данных по итогам отчетного (расчетного) периода составляет не менее 90 процентов в сумме всех доходов организации за указанный период;</w:t>
      </w:r>
    </w:p>
    <w:p>
      <w:pPr>
        <w:pStyle w:val="TextBody"/>
        <w:jc w:val="both"/>
        <w:rPr/>
      </w:pPr>
      <w:r>
        <w:rPr/>
        <w:t>3) среднесписочная численность работников за отчетный (расчетный) период составляет не менее 50 человек.</w:t>
      </w:r>
    </w:p>
    <w:p>
      <w:pPr>
        <w:pStyle w:val="TextBody"/>
        <w:jc w:val="both"/>
        <w:rPr/>
      </w:pPr>
      <w:r>
        <w:rPr/>
        <w:t>2.3. В целях частей 2.1 и 2.2 настоящей статьи сумма доходов определяется по данным налогового учета организации в соответствии со статьей 248 Налогового кодекса Российской Федерации.</w:t>
      </w:r>
    </w:p>
    <w:p>
      <w:pPr>
        <w:pStyle w:val="TextBody"/>
        <w:jc w:val="both"/>
        <w:rPr/>
      </w:pPr>
      <w:r>
        <w:rPr/>
        <w:t>2.4. В случае, если по итогам отчетного (расчетного) периода организация не выполняет хотя бы одно условие, установленное частями 2.1 и 2.2 настоящей статьи, а также в случае лишения ее государственной аккредитации такая организация лишается права применять тарифы страховых взносов, предусмотренные пунктом 4 части 2 настоящей статьи, с начала периода, в котором выявлено несоответствие установленным условиям и (или) аннулирована государственная аккредитация.</w:t>
      </w:r>
    </w:p>
    <w:p>
      <w:pPr>
        <w:pStyle w:val="TextBody"/>
        <w:jc w:val="both"/>
        <w:rPr/>
      </w:pPr>
      <w:r>
        <w:rPr/>
        <w:t>2.5. Контроль за соблюдением требований, установленных пунктом 2 части 2.1 и пунктом 2 части 2.2 настоящей статьи, осуществляется в том числе на основании отчетности, предоставляемой организациями, осуществляющими деятельность в области информационных технологий, в соответствии со статьей 15 настоящего Федерального закона.";</w:t>
      </w:r>
    </w:p>
    <w:p>
      <w:pPr>
        <w:pStyle w:val="TextBody"/>
        <w:jc w:val="both"/>
        <w:rPr/>
      </w:pPr>
      <w:r>
        <w:rPr/>
        <w:t>5) статью 58 изложить в следующей редакции:</w:t>
      </w:r>
    </w:p>
    <w:p>
      <w:pPr>
        <w:pStyle w:val="TextBody"/>
        <w:jc w:val="both"/>
        <w:rPr/>
      </w:pPr>
      <w:r>
        <w:rPr/>
        <w:t>"Статья 58. Пониженные тарифы страховых взносов для отдельных категорий плательщиков страховых взносов в переходный период 2011 - 2019 годов</w:t>
      </w:r>
    </w:p>
    <w:p>
      <w:pPr>
        <w:pStyle w:val="TextBody"/>
        <w:jc w:val="both"/>
        <w:rPr/>
      </w:pPr>
      <w:r>
        <w:rPr/>
        <w:t>1. В течение переходного периода применяются пониженные тарифы страховых взносов для плательщиков страховых взносов, указанных в пункте 1 части 1 статьи 5 настоящего Федерального закона:</w:t>
      </w:r>
    </w:p>
    <w:p>
      <w:pPr>
        <w:pStyle w:val="TextBody"/>
        <w:jc w:val="both"/>
        <w:rPr/>
      </w:pPr>
      <w:r>
        <w:rPr/>
        <w:t>1) для сельскохозяйственных товаропроизводителей, отвечающих критериям, указанным в статье 346.2 Налогового кодекса Российской Федерации, для организаций народных художественных промыслов и семейных (родовых) общин коренных малочисленных народов Севера, занимающихся традиционными отраслями хозяйствования;</w:t>
      </w:r>
    </w:p>
    <w:p>
      <w:pPr>
        <w:pStyle w:val="TextBody"/>
        <w:jc w:val="both"/>
        <w:rPr/>
      </w:pPr>
      <w:r>
        <w:rPr/>
        <w:t>2) для организаций и индивидуальных предпринимателей, применяющих единый сельскохозяйственный налог;</w:t>
      </w:r>
    </w:p>
    <w:p>
      <w:pPr>
        <w:pStyle w:val="TextBody"/>
        <w:jc w:val="both"/>
        <w:rPr/>
      </w:pPr>
      <w:r>
        <w:rPr/>
        <w:t>3) для плательщиков страховых взносов, производящих выплаты и иные вознаграждения физическим лицам, являющимся инвалидами I, II или III группы, - в отношении указанных выплат и вознаграждений, для общественных организаций инвалидов, для организаций, уставный капитал которых полностью состоит из вкладов общественных организаций инвалидов и в которых среднесписочная численность инвалидов составляет не менее 50 процентов, а доля заработной платы инвалидов в фонде оплаты труда составляет не менее 25 процентов, для учреждений, созданных для достижения образовательных, культурных, лечебно-оздоровительных, физкультурно-спортивных, научных, информационных и иных социальных целей, а также для оказания правовой и иной помощи инвалидам, детям-инвалидам и их родителям (иным законным представителям), единственными собственниками имущества которых являются общественные организации инвалидов, за исключением плательщиков страховых взносов, занимающихся производством и (или) реализацией подакцизных товаров, минерального сырья, других полезных ископаемых, а также иных товаров в соответствии с перечнем, утверждаемым Правительством Российской Федерации по представлению общероссийских общественных организаций инвалидов;</w:t>
      </w:r>
    </w:p>
    <w:p>
      <w:pPr>
        <w:pStyle w:val="TextBody"/>
        <w:jc w:val="both"/>
        <w:rPr/>
      </w:pPr>
      <w:r>
        <w:rPr/>
        <w:t>4) для хозяйственных обществ, созданных после 13 августа 2009 года бюджетными научными учреждениями в соответствии с Федеральным законом от 23 августа 1996 года N 127-ФЗ "О науке и государственной научно-технической политике" и образовательными учреждениями высшего профессионального образования в соответствии с Федеральным законом от 22 августа 1996 года N 125-ФЗ "О высшем и послевузовском профессиональном образовании". Реестр учета уведомлений о создании хозяйственных обществ ведется уполномоченным Правительством Российской Федерации федеральным органом исполнительной власти и передается в орган контроля за уплатой страховых взносов не позднее 1-го числа месяца, следующего за отчетным периодом, в порядке, определяемом Правительством Российской Федерации;</w:t>
      </w:r>
    </w:p>
    <w:p>
      <w:pPr>
        <w:pStyle w:val="TextBody"/>
        <w:jc w:val="both"/>
        <w:rPr/>
      </w:pPr>
      <w:r>
        <w:rPr/>
        <w:t>5) для организаций и индивидуальных предпринимателей, имеющих статус резидента технико-внедренческой особой экономической зоны и производящих выплаты физическим лицам, работающим на территории технико-внедренческой особой экономической зоны;</w:t>
      </w:r>
    </w:p>
    <w:p>
      <w:pPr>
        <w:pStyle w:val="TextBody"/>
        <w:jc w:val="both"/>
        <w:rPr/>
      </w:pPr>
      <w:r>
        <w:rPr/>
        <w:t>6) для организаций, осуществляющих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 которыми признаются российские организации, осуществляющие разработку и реализацию программ для ЭВМ, баз данных на материальном носителе или в электронном виде по каналам связи независимо от вида договора и (или) оказывающие услуги (выполняющие работы) по разработке, адаптации, модификации программ для ЭВМ, баз данных (программных средств и информационных продуктов вычислительной техники), установке, тестированию и сопровождению программ для ЭВМ, баз данных.</w:t>
      </w:r>
    </w:p>
    <w:p>
      <w:pPr>
        <w:pStyle w:val="TextBody"/>
        <w:jc w:val="both"/>
        <w:rPr/>
      </w:pPr>
      <w:r>
        <w:rPr/>
        <w:t>2. В течение 2011 - 2014 годов для плательщиков страховых взносов, указанных в пунктах 1 - 3 части 1 настоящей статьи, применяются следующие тарифы страховых взносов:</w:t>
      </w:r>
    </w:p>
    <w:tbl>
      <w:tblPr>
        <w:tblW w:w="10005" w:type="dxa"/>
        <w:jc w:val="left"/>
        <w:tblInd w:w="28" w:type="dxa"/>
        <w:tblBorders>
          <w:top w:val="single" w:sz="6" w:space="0" w:color="808080"/>
          <w:left w:val="single" w:sz="6" w:space="0" w:color="808080"/>
          <w:bottom w:val="single" w:sz="2" w:space="0" w:color="808080"/>
          <w:insideH w:val="single" w:sz="2" w:space="0" w:color="808080"/>
        </w:tblBorders>
        <w:tblCellMar>
          <w:top w:w="28" w:type="dxa"/>
          <w:left w:w="20" w:type="dxa"/>
          <w:bottom w:w="28" w:type="dxa"/>
          <w:right w:w="28" w:type="dxa"/>
        </w:tblCellMar>
      </w:tblPr>
      <w:tblGrid>
        <w:gridCol w:w="3525"/>
        <w:gridCol w:w="1980"/>
        <w:gridCol w:w="1980"/>
        <w:gridCol w:w="2520"/>
      </w:tblGrid>
      <w:tr>
        <w:trPr/>
        <w:tc>
          <w:tcPr>
            <w:tcW w:w="3525" w:type="dxa"/>
            <w:tcBorders>
              <w:top w:val="single" w:sz="6" w:space="0" w:color="808080"/>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Наименование</w:t>
            </w:r>
          </w:p>
        </w:tc>
        <w:tc>
          <w:tcPr>
            <w:tcW w:w="1980" w:type="dxa"/>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2011 год</w:t>
            </w:r>
          </w:p>
        </w:tc>
        <w:tc>
          <w:tcPr>
            <w:tcW w:w="1980" w:type="dxa"/>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2012 год</w:t>
            </w:r>
          </w:p>
        </w:tc>
        <w:tc>
          <w:tcPr>
            <w:tcW w:w="2520" w:type="dxa"/>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2013 - 2014 годы</w:t>
            </w:r>
          </w:p>
        </w:tc>
      </w:tr>
      <w:tr>
        <w:trPr/>
        <w:tc>
          <w:tcPr>
            <w:tcW w:w="3525"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 xml:space="preserve">Пенсионный фонд Российской Федерации </w:t>
            </w:r>
          </w:p>
        </w:tc>
        <w:tc>
          <w:tcPr>
            <w:tcW w:w="198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16,0 процента</w:t>
            </w:r>
          </w:p>
        </w:tc>
        <w:tc>
          <w:tcPr>
            <w:tcW w:w="198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16,0 процента</w:t>
            </w:r>
          </w:p>
        </w:tc>
        <w:tc>
          <w:tcPr>
            <w:tcW w:w="252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21,0 процента</w:t>
            </w:r>
          </w:p>
        </w:tc>
      </w:tr>
      <w:tr>
        <w:trPr/>
        <w:tc>
          <w:tcPr>
            <w:tcW w:w="3525"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 xml:space="preserve">Фонд социального страхования Российской Федерации </w:t>
            </w:r>
          </w:p>
        </w:tc>
        <w:tc>
          <w:tcPr>
            <w:tcW w:w="198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 процента</w:t>
            </w:r>
          </w:p>
        </w:tc>
        <w:tc>
          <w:tcPr>
            <w:tcW w:w="198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1,9 процента</w:t>
            </w:r>
          </w:p>
        </w:tc>
        <w:tc>
          <w:tcPr>
            <w:tcW w:w="252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2,4 процента</w:t>
            </w:r>
          </w:p>
        </w:tc>
      </w:tr>
      <w:tr>
        <w:trPr/>
        <w:tc>
          <w:tcPr>
            <w:tcW w:w="3525"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 xml:space="preserve">Федеральный фонд обязательного медицинского страхования </w:t>
            </w:r>
          </w:p>
        </w:tc>
        <w:tc>
          <w:tcPr>
            <w:tcW w:w="198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1,1 процента</w:t>
            </w:r>
          </w:p>
        </w:tc>
        <w:tc>
          <w:tcPr>
            <w:tcW w:w="198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2,3 процента</w:t>
            </w:r>
          </w:p>
        </w:tc>
        <w:tc>
          <w:tcPr>
            <w:tcW w:w="252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3,7 процента</w:t>
            </w:r>
          </w:p>
        </w:tc>
      </w:tr>
      <w:tr>
        <w:trPr/>
        <w:tc>
          <w:tcPr>
            <w:tcW w:w="3525" w:type="dxa"/>
            <w:tcBorders>
              <w:left w:val="single" w:sz="6" w:space="0" w:color="808080"/>
              <w:bottom w:val="single" w:sz="6" w:space="0" w:color="808080"/>
              <w:insideH w:val="single" w:sz="6" w:space="0" w:color="808080"/>
            </w:tcBorders>
            <w:shd w:fill="auto" w:val="clear"/>
            <w:tcMar>
              <w:left w:w="20" w:type="dxa"/>
            </w:tcMar>
          </w:tcPr>
          <w:p>
            <w:pPr>
              <w:pStyle w:val="TableContents"/>
              <w:spacing w:before="0" w:after="283"/>
              <w:rPr/>
            </w:pPr>
            <w:r>
              <w:rPr/>
              <w:t xml:space="preserve">Территориальные фонды обязательного медицинского страхования </w:t>
            </w:r>
          </w:p>
        </w:tc>
        <w:tc>
          <w:tcPr>
            <w:tcW w:w="1980" w:type="dxa"/>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jc w:val="center"/>
              <w:rPr/>
            </w:pPr>
            <w:r>
              <w:rPr/>
              <w:t>1,2 процента</w:t>
            </w:r>
          </w:p>
        </w:tc>
        <w:tc>
          <w:tcPr>
            <w:tcW w:w="1980" w:type="dxa"/>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jc w:val="center"/>
              <w:rPr/>
            </w:pPr>
            <w:r>
              <w:rPr/>
              <w:t>0,0 процента</w:t>
            </w:r>
          </w:p>
        </w:tc>
        <w:tc>
          <w:tcPr>
            <w:tcW w:w="2520" w:type="dxa"/>
            <w:tcBorders>
              <w:left w:val="single" w:sz="2" w:space="0" w:color="808080"/>
              <w:bottom w:val="single" w:sz="6" w:space="0" w:color="808080"/>
              <w:right w:val="single" w:sz="6" w:space="0" w:color="808080"/>
              <w:insideH w:val="single" w:sz="6" w:space="0" w:color="808080"/>
              <w:insideV w:val="single" w:sz="6" w:space="0" w:color="808080"/>
            </w:tcBorders>
            <w:shd w:fill="auto" w:val="clear"/>
            <w:tcMar>
              <w:left w:w="27" w:type="dxa"/>
            </w:tcMar>
          </w:tcPr>
          <w:p>
            <w:pPr>
              <w:pStyle w:val="TableContents"/>
              <w:spacing w:before="0" w:after="283"/>
              <w:jc w:val="center"/>
              <w:rPr/>
            </w:pPr>
            <w:r>
              <w:rPr/>
              <w:t>0,0 процента.</w:t>
            </w:r>
          </w:p>
        </w:tc>
      </w:tr>
    </w:tbl>
    <w:p>
      <w:pPr>
        <w:pStyle w:val="TextBody"/>
        <w:jc w:val="both"/>
        <w:rPr/>
      </w:pPr>
      <w:r>
        <w:rPr/>
        <w:t>3. В течение 2011 - 2019 годов для плательщиков страховых взносов, указанных в пунктах 4 - 6 части 1 настоящей статьи, применяются следующие тарифы страховых взносов:</w:t>
      </w:r>
    </w:p>
    <w:p>
      <w:pPr>
        <w:pStyle w:val="TextBody"/>
        <w:jc w:val="both"/>
        <w:rPr/>
      </w:pPr>
      <w:r>
        <w:rPr/>
        <w:t>4. Указанные в пункте 4 части 1 настоящей статьи плательщики страховых взносов применяют тарифы страховых взносов, предусмотренные частью 3 настоящей статьи, при выполнении ими следующих условий:</w:t>
      </w:r>
      <w:r>
        <mc:AlternateContent>
          <mc:Choice Requires="wps">
            <w:drawing>
              <wp:anchor behindDoc="0" distT="0" distB="0" distL="0" distR="0" simplePos="0" locked="0" layoutInCell="1" allowOverlap="1" relativeHeight="2">
                <wp:simplePos x="0" y="0"/>
                <wp:positionH relativeFrom="column">
                  <wp:align>left</wp:align>
                </wp:positionH>
                <wp:positionV relativeFrom="line">
                  <wp:posOffset>635</wp:posOffset>
                </wp:positionV>
                <wp:extent cx="6019800" cy="3376295"/>
                <wp:effectExtent l="0" t="0" r="0" b="0"/>
                <wp:wrapSquare wrapText="largest"/>
                <wp:docPr id="1" name="Frame1"/>
                <a:graphic xmlns:a="http://schemas.openxmlformats.org/drawingml/2006/main">
                  <a:graphicData uri="http://schemas.microsoft.com/office/word/2010/wordprocessingShape">
                    <wps:wsp>
                      <wps:cNvSpPr txBox="1"/>
                      <wps:spPr>
                        <a:xfrm>
                          <a:off x="0" y="0"/>
                          <a:ext cx="6019800" cy="3376295"/>
                        </a:xfrm>
                        <a:prstGeom prst="rect"/>
                      </wps:spPr>
                      <wps:txbx>
                        <w:txbxContent>
                          <w:tbl>
                            <w:tblPr>
                              <w:tblW w:w="9480" w:type="dxa"/>
                              <w:jc w:val="left"/>
                              <w:tblInd w:w="28" w:type="dxa"/>
                              <w:tblBorders>
                                <w:top w:val="single" w:sz="6" w:space="0" w:color="808080"/>
                                <w:left w:val="single" w:sz="6" w:space="0" w:color="808080"/>
                                <w:bottom w:val="single" w:sz="2" w:space="0" w:color="808080"/>
                                <w:insideH w:val="single" w:sz="2" w:space="0" w:color="808080"/>
                              </w:tblBorders>
                              <w:tblCellMar>
                                <w:top w:w="28" w:type="dxa"/>
                                <w:left w:w="20" w:type="dxa"/>
                                <w:bottom w:w="28" w:type="dxa"/>
                                <w:right w:w="28" w:type="dxa"/>
                              </w:tblCellMar>
                            </w:tblPr>
                            <w:tblGrid>
                              <w:gridCol w:w="2955"/>
                              <w:gridCol w:w="1560"/>
                              <w:gridCol w:w="1695"/>
                              <w:gridCol w:w="1560"/>
                              <w:gridCol w:w="1710"/>
                            </w:tblGrid>
                            <w:tr>
                              <w:trPr/>
                              <w:tc>
                                <w:tcPr>
                                  <w:tcW w:w="2955" w:type="dxa"/>
                                  <w:tcBorders>
                                    <w:top w:val="single" w:sz="6" w:space="0" w:color="808080"/>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Наименование</w:t>
                                  </w:r>
                                </w:p>
                              </w:tc>
                              <w:tc>
                                <w:tcPr>
                                  <w:tcW w:w="1560" w:type="dxa"/>
                                  <w:tcBorders>
                                    <w:top w:val="single" w:sz="6" w:space="0" w:color="808080"/>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jc w:val="center"/>
                                    <w:rPr/>
                                  </w:pPr>
                                  <w:r>
                                    <w:rPr/>
                                    <w:t>2011 год</w:t>
                                  </w:r>
                                </w:p>
                              </w:tc>
                              <w:tc>
                                <w:tcPr>
                                  <w:tcW w:w="1695" w:type="dxa"/>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2012 - 2017 годы</w:t>
                                  </w:r>
                                </w:p>
                              </w:tc>
                              <w:tc>
                                <w:tcPr>
                                  <w:tcW w:w="1560" w:type="dxa"/>
                                  <w:tcBorders>
                                    <w:top w:val="single" w:sz="6" w:space="0" w:color="808080"/>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jc w:val="center"/>
                                    <w:rPr/>
                                  </w:pPr>
                                  <w:r>
                                    <w:rPr/>
                                    <w:t>2018 год</w:t>
                                  </w:r>
                                </w:p>
                              </w:tc>
                              <w:tc>
                                <w:tcPr>
                                  <w:tcW w:w="1710" w:type="dxa"/>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jc w:val="center"/>
                                    <w:rPr/>
                                  </w:pPr>
                                  <w:r>
                                    <w:rPr/>
                                    <w:t>2019 год</w:t>
                                  </w:r>
                                </w:p>
                              </w:tc>
                            </w:tr>
                            <w:tr>
                              <w:trPr/>
                              <w:tc>
                                <w:tcPr>
                                  <w:tcW w:w="2955"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Пенсионный фонд Российской Федерации</w:t>
                                  </w:r>
                                </w:p>
                              </w:tc>
                              <w:tc>
                                <w:tcPr>
                                  <w:tcW w:w="156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8,0 процента</w:t>
                                  </w:r>
                                </w:p>
                              </w:tc>
                              <w:tc>
                                <w:tcPr>
                                  <w:tcW w:w="169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8,0 процента</w:t>
                                  </w:r>
                                </w:p>
                              </w:tc>
                              <w:tc>
                                <w:tcPr>
                                  <w:tcW w:w="156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13,0 процента</w:t>
                                  </w:r>
                                </w:p>
                              </w:tc>
                              <w:tc>
                                <w:tcPr>
                                  <w:tcW w:w="171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20,0 процента</w:t>
                                  </w:r>
                                </w:p>
                              </w:tc>
                            </w:tr>
                            <w:tr>
                              <w:trPr/>
                              <w:tc>
                                <w:tcPr>
                                  <w:tcW w:w="2955"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Фонд социального страхования Российской Федерации</w:t>
                                  </w:r>
                                </w:p>
                              </w:tc>
                              <w:tc>
                                <w:tcPr>
                                  <w:tcW w:w="156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2,0 процента</w:t>
                                  </w:r>
                                </w:p>
                              </w:tc>
                              <w:tc>
                                <w:tcPr>
                                  <w:tcW w:w="169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2,0 процента</w:t>
                                  </w:r>
                                </w:p>
                              </w:tc>
                              <w:tc>
                                <w:tcPr>
                                  <w:tcW w:w="156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2,9 процента</w:t>
                                  </w:r>
                                </w:p>
                              </w:tc>
                              <w:tc>
                                <w:tcPr>
                                  <w:tcW w:w="171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2,9 процента</w:t>
                                  </w:r>
                                </w:p>
                              </w:tc>
                            </w:tr>
                            <w:tr>
                              <w:trPr/>
                              <w:tc>
                                <w:tcPr>
                                  <w:tcW w:w="2955"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Федеральный фонд обязательного медицинского страхования</w:t>
                                  </w:r>
                                </w:p>
                              </w:tc>
                              <w:tc>
                                <w:tcPr>
                                  <w:tcW w:w="156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2,0 процента</w:t>
                                  </w:r>
                                </w:p>
                              </w:tc>
                              <w:tc>
                                <w:tcPr>
                                  <w:tcW w:w="169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4,0 процента</w:t>
                                  </w:r>
                                </w:p>
                              </w:tc>
                              <w:tc>
                                <w:tcPr>
                                  <w:tcW w:w="156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5,1 процента</w:t>
                                  </w:r>
                                </w:p>
                              </w:tc>
                              <w:tc>
                                <w:tcPr>
                                  <w:tcW w:w="171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5,1 процента</w:t>
                                  </w:r>
                                </w:p>
                              </w:tc>
                            </w:tr>
                            <w:tr>
                              <w:trPr/>
                              <w:tc>
                                <w:tcPr>
                                  <w:tcW w:w="2955" w:type="dxa"/>
                                  <w:tcBorders>
                                    <w:left w:val="single" w:sz="6" w:space="0" w:color="808080"/>
                                    <w:bottom w:val="single" w:sz="6" w:space="0" w:color="808080"/>
                                    <w:insideH w:val="single" w:sz="6" w:space="0" w:color="808080"/>
                                  </w:tcBorders>
                                  <w:shd w:fill="auto" w:val="clear"/>
                                  <w:tcMar>
                                    <w:left w:w="20" w:type="dxa"/>
                                  </w:tcMar>
                                </w:tcPr>
                                <w:p>
                                  <w:pPr>
                                    <w:pStyle w:val="TableContents"/>
                                    <w:spacing w:before="0" w:after="283"/>
                                    <w:rPr/>
                                  </w:pPr>
                                  <w:r>
                                    <w:rPr/>
                                    <w:t>Территориальные фонды обязательного медицинского страхования</w:t>
                                  </w:r>
                                </w:p>
                              </w:tc>
                              <w:tc>
                                <w:tcPr>
                                  <w:tcW w:w="1560" w:type="dxa"/>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jc w:val="center"/>
                                    <w:rPr/>
                                  </w:pPr>
                                  <w:r>
                                    <w:rPr/>
                                    <w:t>2,0 процента</w:t>
                                  </w:r>
                                </w:p>
                              </w:tc>
                              <w:tc>
                                <w:tcPr>
                                  <w:tcW w:w="1695" w:type="dxa"/>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jc w:val="center"/>
                                    <w:rPr/>
                                  </w:pPr>
                                  <w:r>
                                    <w:rPr/>
                                    <w:t>0,0 процента</w:t>
                                  </w:r>
                                </w:p>
                              </w:tc>
                              <w:tc>
                                <w:tcPr>
                                  <w:tcW w:w="1560" w:type="dxa"/>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jc w:val="center"/>
                                    <w:rPr/>
                                  </w:pPr>
                                  <w:r>
                                    <w:rPr/>
                                    <w:t>0,0 процента</w:t>
                                  </w:r>
                                </w:p>
                              </w:tc>
                              <w:tc>
                                <w:tcPr>
                                  <w:tcW w:w="1710" w:type="dxa"/>
                                  <w:tcBorders>
                                    <w:left w:val="single" w:sz="2" w:space="0" w:color="808080"/>
                                    <w:bottom w:val="single" w:sz="6" w:space="0" w:color="808080"/>
                                    <w:right w:val="single" w:sz="6" w:space="0" w:color="808080"/>
                                    <w:insideH w:val="single" w:sz="6" w:space="0" w:color="808080"/>
                                    <w:insideV w:val="single" w:sz="6" w:space="0" w:color="808080"/>
                                  </w:tcBorders>
                                  <w:shd w:fill="auto" w:val="clear"/>
                                  <w:tcMar>
                                    <w:left w:w="27" w:type="dxa"/>
                                  </w:tcMar>
                                </w:tcPr>
                                <w:p>
                                  <w:pPr>
                                    <w:pStyle w:val="TableContents"/>
                                    <w:spacing w:before="0" w:after="283"/>
                                    <w:jc w:val="center"/>
                                    <w:rPr/>
                                  </w:pPr>
                                  <w:r>
                                    <w:rPr/>
                                    <w:t>0,0 процента.</w:t>
                                  </w:r>
                                </w:p>
                              </w:tc>
                            </w:tr>
                          </w:tbl>
                        </w:txbxContent>
                      </wps:txbx>
                      <wps:bodyPr anchor="t">
                        <a:spAutoFit/>
                      </wps:bodyPr>
                    </wps:wsp>
                  </a:graphicData>
                </a:graphic>
              </wp:anchor>
            </w:drawing>
          </mc:Choice>
          <mc:Fallback>
            <w:pict>
              <v:rect style="position:absolute;rotation:0;width:474pt;height:265.85pt;margin-top:0pt;mso-position-vertical:top;mso-position-vertical-relative:text;margin-left:0pt;mso-position-horizontal:left;mso-position-horizontal-relative:text">
                <v:textbox>
                  <w:txbxContent>
                    <w:tbl>
                      <w:tblPr>
                        <w:tblW w:w="9480" w:type="dxa"/>
                        <w:jc w:val="left"/>
                        <w:tblInd w:w="28" w:type="dxa"/>
                        <w:tblBorders>
                          <w:top w:val="single" w:sz="6" w:space="0" w:color="808080"/>
                          <w:left w:val="single" w:sz="6" w:space="0" w:color="808080"/>
                          <w:bottom w:val="single" w:sz="2" w:space="0" w:color="808080"/>
                          <w:insideH w:val="single" w:sz="2" w:space="0" w:color="808080"/>
                        </w:tblBorders>
                        <w:tblCellMar>
                          <w:top w:w="28" w:type="dxa"/>
                          <w:left w:w="20" w:type="dxa"/>
                          <w:bottom w:w="28" w:type="dxa"/>
                          <w:right w:w="28" w:type="dxa"/>
                        </w:tblCellMar>
                      </w:tblPr>
                      <w:tblGrid>
                        <w:gridCol w:w="2955"/>
                        <w:gridCol w:w="1560"/>
                        <w:gridCol w:w="1695"/>
                        <w:gridCol w:w="1560"/>
                        <w:gridCol w:w="1710"/>
                      </w:tblGrid>
                      <w:tr>
                        <w:trPr/>
                        <w:tc>
                          <w:tcPr>
                            <w:tcW w:w="2955" w:type="dxa"/>
                            <w:tcBorders>
                              <w:top w:val="single" w:sz="6" w:space="0" w:color="808080"/>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Наименование</w:t>
                            </w:r>
                          </w:p>
                        </w:tc>
                        <w:tc>
                          <w:tcPr>
                            <w:tcW w:w="1560" w:type="dxa"/>
                            <w:tcBorders>
                              <w:top w:val="single" w:sz="6" w:space="0" w:color="808080"/>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jc w:val="center"/>
                              <w:rPr/>
                            </w:pPr>
                            <w:r>
                              <w:rPr/>
                              <w:t>2011 год</w:t>
                            </w:r>
                          </w:p>
                        </w:tc>
                        <w:tc>
                          <w:tcPr>
                            <w:tcW w:w="1695" w:type="dxa"/>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2012 - 2017 годы</w:t>
                            </w:r>
                          </w:p>
                        </w:tc>
                        <w:tc>
                          <w:tcPr>
                            <w:tcW w:w="1560" w:type="dxa"/>
                            <w:tcBorders>
                              <w:top w:val="single" w:sz="6" w:space="0" w:color="808080"/>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jc w:val="center"/>
                              <w:rPr/>
                            </w:pPr>
                            <w:r>
                              <w:rPr/>
                              <w:t>2018 год</w:t>
                            </w:r>
                          </w:p>
                        </w:tc>
                        <w:tc>
                          <w:tcPr>
                            <w:tcW w:w="1710" w:type="dxa"/>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jc w:val="center"/>
                              <w:rPr/>
                            </w:pPr>
                            <w:r>
                              <w:rPr/>
                              <w:t>2019 год</w:t>
                            </w:r>
                          </w:p>
                        </w:tc>
                      </w:tr>
                      <w:tr>
                        <w:trPr/>
                        <w:tc>
                          <w:tcPr>
                            <w:tcW w:w="2955"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Пенсионный фонд Российской Федерации</w:t>
                            </w:r>
                          </w:p>
                        </w:tc>
                        <w:tc>
                          <w:tcPr>
                            <w:tcW w:w="156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8,0 процента</w:t>
                            </w:r>
                          </w:p>
                        </w:tc>
                        <w:tc>
                          <w:tcPr>
                            <w:tcW w:w="169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8,0 процента</w:t>
                            </w:r>
                          </w:p>
                        </w:tc>
                        <w:tc>
                          <w:tcPr>
                            <w:tcW w:w="156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13,0 процента</w:t>
                            </w:r>
                          </w:p>
                        </w:tc>
                        <w:tc>
                          <w:tcPr>
                            <w:tcW w:w="171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20,0 процента</w:t>
                            </w:r>
                          </w:p>
                        </w:tc>
                      </w:tr>
                      <w:tr>
                        <w:trPr/>
                        <w:tc>
                          <w:tcPr>
                            <w:tcW w:w="2955"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Фонд социального страхования Российской Федерации</w:t>
                            </w:r>
                          </w:p>
                        </w:tc>
                        <w:tc>
                          <w:tcPr>
                            <w:tcW w:w="156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2,0 процента</w:t>
                            </w:r>
                          </w:p>
                        </w:tc>
                        <w:tc>
                          <w:tcPr>
                            <w:tcW w:w="169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2,0 процента</w:t>
                            </w:r>
                          </w:p>
                        </w:tc>
                        <w:tc>
                          <w:tcPr>
                            <w:tcW w:w="156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2,9 процента</w:t>
                            </w:r>
                          </w:p>
                        </w:tc>
                        <w:tc>
                          <w:tcPr>
                            <w:tcW w:w="171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2,9 процента</w:t>
                            </w:r>
                          </w:p>
                        </w:tc>
                      </w:tr>
                      <w:tr>
                        <w:trPr/>
                        <w:tc>
                          <w:tcPr>
                            <w:tcW w:w="2955"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Федеральный фонд обязательного медицинского страхования</w:t>
                            </w:r>
                          </w:p>
                        </w:tc>
                        <w:tc>
                          <w:tcPr>
                            <w:tcW w:w="156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2,0 процента</w:t>
                            </w:r>
                          </w:p>
                        </w:tc>
                        <w:tc>
                          <w:tcPr>
                            <w:tcW w:w="169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4,0 процента</w:t>
                            </w:r>
                          </w:p>
                        </w:tc>
                        <w:tc>
                          <w:tcPr>
                            <w:tcW w:w="156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5,1 процента</w:t>
                            </w:r>
                          </w:p>
                        </w:tc>
                        <w:tc>
                          <w:tcPr>
                            <w:tcW w:w="171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5,1 процента</w:t>
                            </w:r>
                          </w:p>
                        </w:tc>
                      </w:tr>
                      <w:tr>
                        <w:trPr/>
                        <w:tc>
                          <w:tcPr>
                            <w:tcW w:w="2955" w:type="dxa"/>
                            <w:tcBorders>
                              <w:left w:val="single" w:sz="6" w:space="0" w:color="808080"/>
                              <w:bottom w:val="single" w:sz="6" w:space="0" w:color="808080"/>
                              <w:insideH w:val="single" w:sz="6" w:space="0" w:color="808080"/>
                            </w:tcBorders>
                            <w:shd w:fill="auto" w:val="clear"/>
                            <w:tcMar>
                              <w:left w:w="20" w:type="dxa"/>
                            </w:tcMar>
                          </w:tcPr>
                          <w:p>
                            <w:pPr>
                              <w:pStyle w:val="TableContents"/>
                              <w:spacing w:before="0" w:after="283"/>
                              <w:rPr/>
                            </w:pPr>
                            <w:r>
                              <w:rPr/>
                              <w:t>Территориальные фонды обязательного медицинского страхования</w:t>
                            </w:r>
                          </w:p>
                        </w:tc>
                        <w:tc>
                          <w:tcPr>
                            <w:tcW w:w="1560" w:type="dxa"/>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jc w:val="center"/>
                              <w:rPr/>
                            </w:pPr>
                            <w:r>
                              <w:rPr/>
                              <w:t>2,0 процента</w:t>
                            </w:r>
                          </w:p>
                        </w:tc>
                        <w:tc>
                          <w:tcPr>
                            <w:tcW w:w="1695" w:type="dxa"/>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jc w:val="center"/>
                              <w:rPr/>
                            </w:pPr>
                            <w:r>
                              <w:rPr/>
                              <w:t>0,0 процента</w:t>
                            </w:r>
                          </w:p>
                        </w:tc>
                        <w:tc>
                          <w:tcPr>
                            <w:tcW w:w="1560" w:type="dxa"/>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jc w:val="center"/>
                              <w:rPr/>
                            </w:pPr>
                            <w:r>
                              <w:rPr/>
                              <w:t>0,0 процента</w:t>
                            </w:r>
                          </w:p>
                        </w:tc>
                        <w:tc>
                          <w:tcPr>
                            <w:tcW w:w="1710" w:type="dxa"/>
                            <w:tcBorders>
                              <w:left w:val="single" w:sz="2" w:space="0" w:color="808080"/>
                              <w:bottom w:val="single" w:sz="6" w:space="0" w:color="808080"/>
                              <w:right w:val="single" w:sz="6" w:space="0" w:color="808080"/>
                              <w:insideH w:val="single" w:sz="6" w:space="0" w:color="808080"/>
                              <w:insideV w:val="single" w:sz="6" w:space="0" w:color="808080"/>
                            </w:tcBorders>
                            <w:shd w:fill="auto" w:val="clear"/>
                            <w:tcMar>
                              <w:left w:w="27" w:type="dxa"/>
                            </w:tcMar>
                          </w:tcPr>
                          <w:p>
                            <w:pPr>
                              <w:pStyle w:val="TableContents"/>
                              <w:spacing w:before="0" w:after="283"/>
                              <w:jc w:val="center"/>
                              <w:rPr/>
                            </w:pPr>
                            <w:r>
                              <w:rPr/>
                              <w:t>0,0 процента.</w:t>
                            </w:r>
                          </w:p>
                        </w:tc>
                      </w:tr>
                    </w:tbl>
                  </w:txbxContent>
                </v:textbox>
                <w10:wrap type="square" side="right"/>
              </v:rect>
            </w:pict>
          </mc:Fallback>
        </mc:AlternateContent>
      </w:r>
    </w:p>
    <w:p>
      <w:pPr>
        <w:pStyle w:val="TextBody"/>
        <w:jc w:val="both"/>
        <w:rPr/>
      </w:pPr>
      <w:r>
        <w:rPr/>
        <w:t>1) осуществление научно-исследовательских и опытно-конструкторских работ и практическое применение (внедрение) результатов интеллектуальной деятельности. Под научно-исследовательскими и опытно-конструкторскими работами подразумеваются работы по созданию новой или усовершенствованию производимой продукции (товаров, работ, услуг), в частности изобретательство;</w:t>
      </w:r>
    </w:p>
    <w:p>
      <w:pPr>
        <w:pStyle w:val="TextBody"/>
        <w:jc w:val="both"/>
        <w:rPr/>
      </w:pPr>
      <w:r>
        <w:rPr/>
        <w:t>2) применение упрощенной системы налогообложения.</w:t>
      </w:r>
    </w:p>
    <w:p>
      <w:pPr>
        <w:pStyle w:val="TextBody"/>
        <w:jc w:val="both"/>
        <w:rPr/>
      </w:pPr>
      <w:r>
        <w:rPr/>
        <w:t>5. Указанные в пункте 6 части 1 настоящей статьи плательщики страховых взносов применяют тарифы страховых взносов, предусмотренные частью 3 настоящей статьи, при выполнении ими условий, установленных частями 2.1 и 2.2 статьи 57 настоящего Федерального закона. Контроль за соблюдением требований, установленных пунктом 2 части 2.1 и пунктом 2 части 2.2 статьи 57 настоящего Федерального закона, осуществляется в том числе на основании отчетности, предоставляемой организациями, осуществляющими деятельность в области информационных технологий, в соответствии со статьей 15 настоящего Федерального закона.</w:t>
      </w:r>
    </w:p>
    <w:p>
      <w:pPr>
        <w:pStyle w:val="TextBody"/>
        <w:jc w:val="both"/>
        <w:rPr/>
      </w:pPr>
      <w:r>
        <w:rPr/>
        <w:t>6. В 2011 - 2019 годах выпадающие доходы бюджетов государственных внебюджетных фондов в связи с установлением пониженных тарифов страховых взносов плательщикам страховых взносов, указанным в части 1 настоящей статьи, компенсируются за счет межбюджетных трансфертов из федерального бюджета, предоставляемых бюджетам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Объем указанной компенсации определяется как разница между суммой страховых взносов, которую могли бы уплатить указанные плательщики страховых взносов в соответствии с тарифами, установленными частью 2 статьи 12 настоящего Федерального закона, и суммой страховых взносов, подлежащей уплате ими в соответствии с частями 2 и 3 настоящей статьи, и устанавливается на очередной финансовый год федеральным законом о федеральном бюджете на очередной финансовый год и плановый период.".</w:t>
      </w:r>
    </w:p>
    <w:p>
      <w:pPr>
        <w:pStyle w:val="TextBody"/>
        <w:jc w:val="both"/>
        <w:rPr/>
      </w:pPr>
      <w:r>
        <w:rPr/>
        <w:t>Статья 2</w:t>
      </w:r>
    </w:p>
    <w:p>
      <w:pPr>
        <w:pStyle w:val="TextBody"/>
        <w:jc w:val="both"/>
        <w:rPr/>
      </w:pPr>
      <w:r>
        <w:rPr/>
        <w:t>Внести в статью 33 Федерального закона от 15 декабря 2001 года N 167-ФЗ "Об обязательном пенсионном страховании в Российской Федерации" (Собрание законодательства Российской Федерации, 2001, N 51, ст. 4832; 2004, N 30, ст. 3088; 2009, N 30, ст. 3739; Российская газета, 2010, 30 сентября) следующие изменения:</w:t>
      </w:r>
    </w:p>
    <w:p>
      <w:pPr>
        <w:pStyle w:val="TextBody"/>
        <w:jc w:val="both"/>
        <w:rPr/>
      </w:pPr>
      <w:r>
        <w:rPr/>
        <w:t>1) пункт 2 дополнить подпунктом 4 следующего содержания:</w:t>
      </w:r>
    </w:p>
    <w:p>
      <w:pPr>
        <w:pStyle w:val="TextBody"/>
        <w:jc w:val="both"/>
        <w:rPr/>
      </w:pPr>
      <w:r>
        <w:rPr/>
        <w:t>"4) для организаций, осуществляющих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w:t>
      </w:r>
    </w:p>
    <w:p>
      <w:pPr>
        <w:pStyle w:val="TextBody"/>
        <w:jc w:val="both"/>
        <w:rPr/>
      </w:pPr>
      <w:r>
        <w:rPr/>
        <w:t>2) пункт 4 изложить в следующей редакции:</w:t>
      </w:r>
      <w:r>
        <mc:AlternateContent>
          <mc:Choice Requires="wps">
            <w:drawing>
              <wp:anchor behindDoc="0" distT="0" distB="0" distL="0" distR="0" simplePos="0" locked="0" layoutInCell="1" allowOverlap="1" relativeHeight="3">
                <wp:simplePos x="0" y="0"/>
                <wp:positionH relativeFrom="column">
                  <wp:align>left</wp:align>
                </wp:positionH>
                <wp:positionV relativeFrom="line">
                  <wp:posOffset>635</wp:posOffset>
                </wp:positionV>
                <wp:extent cx="6048375" cy="2247900"/>
                <wp:effectExtent l="0" t="0" r="0" b="0"/>
                <wp:wrapSquare wrapText="largest"/>
                <wp:docPr id="2" name="Frame2"/>
                <a:graphic xmlns:a="http://schemas.openxmlformats.org/drawingml/2006/main">
                  <a:graphicData uri="http://schemas.microsoft.com/office/word/2010/wordprocessingShape">
                    <wps:wsp>
                      <wps:cNvSpPr txBox="1"/>
                      <wps:spPr>
                        <a:xfrm>
                          <a:off x="0" y="0"/>
                          <a:ext cx="6048375" cy="2247900"/>
                        </a:xfrm>
                        <a:prstGeom prst="rect"/>
                      </wps:spPr>
                      <wps:txbx>
                        <w:txbxContent>
                          <w:tbl>
                            <w:tblPr>
                              <w:tblW w:w="9525" w:type="dxa"/>
                              <w:jc w:val="left"/>
                              <w:tblInd w:w="28" w:type="dxa"/>
                              <w:tblBorders>
                                <w:top w:val="single" w:sz="6" w:space="0" w:color="808080"/>
                                <w:left w:val="single" w:sz="6" w:space="0" w:color="808080"/>
                                <w:bottom w:val="single" w:sz="2" w:space="0" w:color="808080"/>
                                <w:insideH w:val="single" w:sz="2" w:space="0" w:color="808080"/>
                              </w:tblBorders>
                              <w:tblCellMar>
                                <w:top w:w="28" w:type="dxa"/>
                                <w:left w:w="20" w:type="dxa"/>
                                <w:bottom w:w="28" w:type="dxa"/>
                                <w:right w:w="28" w:type="dxa"/>
                              </w:tblCellMar>
                            </w:tblPr>
                            <w:tblGrid>
                              <w:gridCol w:w="2850"/>
                              <w:gridCol w:w="1695"/>
                              <w:gridCol w:w="1590"/>
                              <w:gridCol w:w="3390"/>
                            </w:tblGrid>
                            <w:tr>
                              <w:trPr/>
                              <w:tc>
                                <w:tcPr>
                                  <w:tcW w:w="2850" w:type="dxa"/>
                                  <w:vMerge w:val="restart"/>
                                  <w:tcBorders>
                                    <w:top w:val="single" w:sz="6" w:space="0" w:color="808080"/>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Тариф страхового взноса</w:t>
                                  </w:r>
                                </w:p>
                              </w:tc>
                              <w:tc>
                                <w:tcPr>
                                  <w:tcW w:w="3285" w:type="dxa"/>
                                  <w:gridSpan w:val="2"/>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На финансирование страховой части трудовой пенсии</w:t>
                                  </w:r>
                                </w:p>
                              </w:tc>
                              <w:tc>
                                <w:tcPr>
                                  <w:tcW w:w="3390" w:type="dxa"/>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На финансирование накопительной части трудовой пенсии</w:t>
                                  </w:r>
                                </w:p>
                              </w:tc>
                            </w:tr>
                            <w:tr>
                              <w:trPr/>
                              <w:tc>
                                <w:tcPr>
                                  <w:tcW w:w="2850"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69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для лиц 1966 года рождения и старше</w:t>
                                  </w:r>
                                </w:p>
                              </w:tc>
                              <w:tc>
                                <w:tcPr>
                                  <w:tcW w:w="159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для лиц 1967 года рождения и моложе</w:t>
                                  </w:r>
                                </w:p>
                              </w:tc>
                              <w:tc>
                                <w:tcPr>
                                  <w:tcW w:w="339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для лиц 1967 года рождения и моложе</w:t>
                                  </w:r>
                                </w:p>
                              </w:tc>
                            </w:tr>
                            <w:tr>
                              <w:trPr/>
                              <w:tc>
                                <w:tcPr>
                                  <w:tcW w:w="2850" w:type="dxa"/>
                                  <w:tcBorders>
                                    <w:left w:val="single" w:sz="6" w:space="0" w:color="808080"/>
                                    <w:bottom w:val="single" w:sz="6" w:space="0" w:color="808080"/>
                                    <w:insideH w:val="single" w:sz="6" w:space="0" w:color="808080"/>
                                  </w:tcBorders>
                                  <w:shd w:fill="auto" w:val="clear"/>
                                  <w:tcMar>
                                    <w:left w:w="20" w:type="dxa"/>
                                  </w:tcMar>
                                </w:tcPr>
                                <w:p>
                                  <w:pPr>
                                    <w:pStyle w:val="TableContents"/>
                                    <w:jc w:val="center"/>
                                    <w:rPr/>
                                  </w:pPr>
                                  <w:r>
                                    <w:rPr/>
                                    <w:t>14,0</w:t>
                                  </w:r>
                                </w:p>
                                <w:p>
                                  <w:pPr>
                                    <w:pStyle w:val="TableContents"/>
                                    <w:spacing w:before="0" w:after="283"/>
                                    <w:jc w:val="center"/>
                                    <w:rPr/>
                                  </w:pPr>
                                  <w:r>
                                    <w:rPr/>
                                    <w:t>процента</w:t>
                                  </w:r>
                                </w:p>
                              </w:tc>
                              <w:tc>
                                <w:tcPr>
                                  <w:tcW w:w="1695" w:type="dxa"/>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jc w:val="center"/>
                                    <w:rPr/>
                                  </w:pPr>
                                  <w:r>
                                    <w:rPr/>
                                    <w:t>14,0 процента</w:t>
                                  </w:r>
                                </w:p>
                              </w:tc>
                              <w:tc>
                                <w:tcPr>
                                  <w:tcW w:w="1590" w:type="dxa"/>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jc w:val="center"/>
                                    <w:rPr/>
                                  </w:pPr>
                                  <w:r>
                                    <w:rPr/>
                                    <w:t>8,0 процента</w:t>
                                  </w:r>
                                </w:p>
                              </w:tc>
                              <w:tc>
                                <w:tcPr>
                                  <w:tcW w:w="3390" w:type="dxa"/>
                                  <w:tcBorders>
                                    <w:left w:val="single" w:sz="2" w:space="0" w:color="808080"/>
                                    <w:bottom w:val="single" w:sz="6" w:space="0" w:color="808080"/>
                                    <w:right w:val="single" w:sz="6" w:space="0" w:color="808080"/>
                                    <w:insideH w:val="single" w:sz="6" w:space="0" w:color="808080"/>
                                    <w:insideV w:val="single" w:sz="6" w:space="0" w:color="808080"/>
                                  </w:tcBorders>
                                  <w:shd w:fill="auto" w:val="clear"/>
                                  <w:tcMar>
                                    <w:left w:w="27" w:type="dxa"/>
                                  </w:tcMar>
                                </w:tcPr>
                                <w:p>
                                  <w:pPr>
                                    <w:pStyle w:val="TableContents"/>
                                    <w:jc w:val="center"/>
                                    <w:rPr/>
                                  </w:pPr>
                                  <w:r>
                                    <w:rPr/>
                                    <w:t>6,0</w:t>
                                  </w:r>
                                </w:p>
                                <w:p>
                                  <w:pPr>
                                    <w:pStyle w:val="TableContents"/>
                                    <w:spacing w:before="0" w:after="283"/>
                                    <w:jc w:val="center"/>
                                    <w:rPr/>
                                  </w:pPr>
                                  <w:r>
                                    <w:rPr/>
                                    <w:t>процента.";</w:t>
                                  </w:r>
                                </w:p>
                              </w:tc>
                            </w:tr>
                          </w:tbl>
                        </w:txbxContent>
                      </wps:txbx>
                      <wps:bodyPr anchor="t">
                        <a:spAutoFit/>
                      </wps:bodyPr>
                    </wps:wsp>
                  </a:graphicData>
                </a:graphic>
              </wp:anchor>
            </w:drawing>
          </mc:Choice>
          <mc:Fallback>
            <w:pict>
              <v:rect style="position:absolute;rotation:0;width:476.25pt;height:177pt;margin-top:0pt;mso-position-vertical:top;mso-position-vertical-relative:text;margin-left:0pt;mso-position-horizontal:left;mso-position-horizontal-relative:text">
                <v:textbox>
                  <w:txbxContent>
                    <w:tbl>
                      <w:tblPr>
                        <w:tblW w:w="9525" w:type="dxa"/>
                        <w:jc w:val="left"/>
                        <w:tblInd w:w="28" w:type="dxa"/>
                        <w:tblBorders>
                          <w:top w:val="single" w:sz="6" w:space="0" w:color="808080"/>
                          <w:left w:val="single" w:sz="6" w:space="0" w:color="808080"/>
                          <w:bottom w:val="single" w:sz="2" w:space="0" w:color="808080"/>
                          <w:insideH w:val="single" w:sz="2" w:space="0" w:color="808080"/>
                        </w:tblBorders>
                        <w:tblCellMar>
                          <w:top w:w="28" w:type="dxa"/>
                          <w:left w:w="20" w:type="dxa"/>
                          <w:bottom w:w="28" w:type="dxa"/>
                          <w:right w:w="28" w:type="dxa"/>
                        </w:tblCellMar>
                      </w:tblPr>
                      <w:tblGrid>
                        <w:gridCol w:w="2850"/>
                        <w:gridCol w:w="1695"/>
                        <w:gridCol w:w="1590"/>
                        <w:gridCol w:w="3390"/>
                      </w:tblGrid>
                      <w:tr>
                        <w:trPr/>
                        <w:tc>
                          <w:tcPr>
                            <w:tcW w:w="2850" w:type="dxa"/>
                            <w:vMerge w:val="restart"/>
                            <w:tcBorders>
                              <w:top w:val="single" w:sz="6" w:space="0" w:color="808080"/>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Тариф страхового взноса</w:t>
                            </w:r>
                          </w:p>
                        </w:tc>
                        <w:tc>
                          <w:tcPr>
                            <w:tcW w:w="3285" w:type="dxa"/>
                            <w:gridSpan w:val="2"/>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На финансирование страховой части трудовой пенсии</w:t>
                            </w:r>
                          </w:p>
                        </w:tc>
                        <w:tc>
                          <w:tcPr>
                            <w:tcW w:w="3390" w:type="dxa"/>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На финансирование накопительной части трудовой пенсии</w:t>
                            </w:r>
                          </w:p>
                        </w:tc>
                      </w:tr>
                      <w:tr>
                        <w:trPr/>
                        <w:tc>
                          <w:tcPr>
                            <w:tcW w:w="2850"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169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для лиц 1966 года рождения и старше</w:t>
                            </w:r>
                          </w:p>
                        </w:tc>
                        <w:tc>
                          <w:tcPr>
                            <w:tcW w:w="159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для лиц 1967 года рождения и моложе</w:t>
                            </w:r>
                          </w:p>
                        </w:tc>
                        <w:tc>
                          <w:tcPr>
                            <w:tcW w:w="339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для лиц 1967 года рождения и моложе</w:t>
                            </w:r>
                          </w:p>
                        </w:tc>
                      </w:tr>
                      <w:tr>
                        <w:trPr/>
                        <w:tc>
                          <w:tcPr>
                            <w:tcW w:w="2850" w:type="dxa"/>
                            <w:tcBorders>
                              <w:left w:val="single" w:sz="6" w:space="0" w:color="808080"/>
                              <w:bottom w:val="single" w:sz="6" w:space="0" w:color="808080"/>
                              <w:insideH w:val="single" w:sz="6" w:space="0" w:color="808080"/>
                            </w:tcBorders>
                            <w:shd w:fill="auto" w:val="clear"/>
                            <w:tcMar>
                              <w:left w:w="20" w:type="dxa"/>
                            </w:tcMar>
                          </w:tcPr>
                          <w:p>
                            <w:pPr>
                              <w:pStyle w:val="TableContents"/>
                              <w:jc w:val="center"/>
                              <w:rPr/>
                            </w:pPr>
                            <w:r>
                              <w:rPr/>
                              <w:t>14,0</w:t>
                            </w:r>
                          </w:p>
                          <w:p>
                            <w:pPr>
                              <w:pStyle w:val="TableContents"/>
                              <w:spacing w:before="0" w:after="283"/>
                              <w:jc w:val="center"/>
                              <w:rPr/>
                            </w:pPr>
                            <w:r>
                              <w:rPr/>
                              <w:t>процента</w:t>
                            </w:r>
                          </w:p>
                        </w:tc>
                        <w:tc>
                          <w:tcPr>
                            <w:tcW w:w="1695" w:type="dxa"/>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jc w:val="center"/>
                              <w:rPr/>
                            </w:pPr>
                            <w:r>
                              <w:rPr/>
                              <w:t>14,0 процента</w:t>
                            </w:r>
                          </w:p>
                        </w:tc>
                        <w:tc>
                          <w:tcPr>
                            <w:tcW w:w="1590" w:type="dxa"/>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jc w:val="center"/>
                              <w:rPr/>
                            </w:pPr>
                            <w:r>
                              <w:rPr/>
                              <w:t>8,0 процента</w:t>
                            </w:r>
                          </w:p>
                        </w:tc>
                        <w:tc>
                          <w:tcPr>
                            <w:tcW w:w="3390" w:type="dxa"/>
                            <w:tcBorders>
                              <w:left w:val="single" w:sz="2" w:space="0" w:color="808080"/>
                              <w:bottom w:val="single" w:sz="6" w:space="0" w:color="808080"/>
                              <w:right w:val="single" w:sz="6" w:space="0" w:color="808080"/>
                              <w:insideH w:val="single" w:sz="6" w:space="0" w:color="808080"/>
                              <w:insideV w:val="single" w:sz="6" w:space="0" w:color="808080"/>
                            </w:tcBorders>
                            <w:shd w:fill="auto" w:val="clear"/>
                            <w:tcMar>
                              <w:left w:w="27" w:type="dxa"/>
                            </w:tcMar>
                          </w:tcPr>
                          <w:p>
                            <w:pPr>
                              <w:pStyle w:val="TableContents"/>
                              <w:jc w:val="center"/>
                              <w:rPr/>
                            </w:pPr>
                            <w:r>
                              <w:rPr/>
                              <w:t>6,0</w:t>
                            </w:r>
                          </w:p>
                          <w:p>
                            <w:pPr>
                              <w:pStyle w:val="TableContents"/>
                              <w:spacing w:before="0" w:after="283"/>
                              <w:jc w:val="center"/>
                              <w:rPr/>
                            </w:pPr>
                            <w:r>
                              <w:rPr/>
                              <w:t>процента.";</w:t>
                            </w:r>
                          </w:p>
                        </w:tc>
                      </w:tr>
                    </w:tbl>
                  </w:txbxContent>
                </v:textbox>
                <w10:wrap type="square" side="right"/>
              </v:rect>
            </w:pict>
          </mc:Fallback>
        </mc:AlternateContent>
      </w:r>
    </w:p>
    <w:p>
      <w:pPr>
        <w:pStyle w:val="TextBody"/>
        <w:jc w:val="both"/>
        <w:rPr/>
      </w:pPr>
      <w:r>
        <w:rPr/>
        <w:t>"4. В течение переходного периода применяются пониженные тарифы страховых взносов для следующих категорий страхователей из числа страхователей, которые указаны в подпункте 1 пункта 1 статьи 6 настоящего Федерального закона:</w:t>
      </w:r>
    </w:p>
    <w:p>
      <w:pPr>
        <w:pStyle w:val="TextBody"/>
        <w:jc w:val="both"/>
        <w:rPr/>
      </w:pPr>
      <w:r>
        <w:rPr/>
        <w:t>1) для сельскохозяйственных товаропроизводителей, отвечающих критериям, указанным в статье 346.2 Налогового кодекса Российской Федерации, для организаций народных художественных промыслов и семейных (родовых) общин коренных малочисленных народов Севера, занимающихся традиционными отраслями хозяйствования;</w:t>
      </w:r>
    </w:p>
    <w:p>
      <w:pPr>
        <w:pStyle w:val="TextBody"/>
        <w:jc w:val="both"/>
        <w:rPr/>
      </w:pPr>
      <w:r>
        <w:rPr/>
        <w:t>2) для организаций и индивидуальных предпринимателей, применяющих единый сельскохозяйственный налог;</w:t>
      </w:r>
    </w:p>
    <w:p>
      <w:pPr>
        <w:pStyle w:val="TextBody"/>
        <w:jc w:val="both"/>
        <w:rPr/>
      </w:pPr>
      <w:r>
        <w:rPr/>
        <w:t>3) для страхователей, производящих выплаты и иные вознаграждения физическим лицам, являющимся инвалидами I, II или III группы, - в отношении указанных выплат и вознаграждений, для общественных организаций инвалидов, для организаций, уставный капитал которых полностью состоит из вкладов общественных организаций инвалидов и в которых среднесписочная численность инвалидов составляет не менее 50 процентов, а доля заработной платы инвалидов в фонде оплаты труда составляет не менее 25 процентов, для учреждений, созданных для достижения образовательных, культурных, лечебно-оздоровительных, физкультурно-спортивных, научных, информационных и иных социальных целей, а также для оказания правовой и иной помощи инвалидам, детям-инвалидам и их родителям (иным законным представителям), единственными собственниками имущества которых являются общественные организации инвалидов, за исключением страхователей, занимающихся производством и (или) реализацией подакцизных товаров, минерального сырья, других полезных ископаемых, а также иных товаров в соответствии с перечнем, утверждаемым Правительством Российской Федерации по представлению общероссийских общественных организаций инвалидов;</w:t>
      </w:r>
    </w:p>
    <w:p>
      <w:pPr>
        <w:pStyle w:val="TextBody"/>
        <w:jc w:val="both"/>
        <w:rPr/>
      </w:pPr>
      <w:r>
        <w:rPr/>
        <w:t>4) для хозяйственных обществ, созданных после 13 августа 2009 года бюджетными научными учреждениями в соответствии с Федеральным законом от 23 августа 1996 года N 127-ФЗ "О науке и государственной научно-технической политике" и образовательными учреждениями высшего профессионального образования в соответствии с Федеральным законом от 22 августа 1996 года N 125-ФЗ "О высшем и послевузовском профессиональном образовании";</w:t>
      </w:r>
    </w:p>
    <w:p>
      <w:pPr>
        <w:pStyle w:val="TextBody"/>
        <w:jc w:val="both"/>
        <w:rPr/>
      </w:pPr>
      <w:r>
        <w:rPr/>
        <w:t>5) для организаций и индивидуальных предпринимателей, имеющих статус резидента технико-внедренческой особой экономической зоны и производящих выплаты физическим лицам, работающим на территории технико-внедренческой особой экономической зоны;</w:t>
      </w:r>
    </w:p>
    <w:p>
      <w:pPr>
        <w:pStyle w:val="TextBody"/>
        <w:jc w:val="both"/>
        <w:rPr/>
      </w:pPr>
      <w:r>
        <w:rPr/>
        <w:t>6) для организаций, осуществляющих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w:t>
      </w:r>
    </w:p>
    <w:p>
      <w:pPr>
        <w:pStyle w:val="TextBody"/>
        <w:jc w:val="both"/>
        <w:rPr/>
      </w:pPr>
      <w:r>
        <w:rPr/>
        <w:t>3) в пункте 5 слова "указанных в пункте 4" заменить словами "указанных в подпунктах 1 - 3 пункта 4";</w:t>
      </w:r>
    </w:p>
    <w:p>
      <w:pPr>
        <w:pStyle w:val="TextBody"/>
        <w:jc w:val="both"/>
        <w:rPr/>
      </w:pPr>
      <w:r>
        <w:rPr/>
        <w:t>4) дополнить пунктами 7 и 8 следующего содержания:</w:t>
      </w:r>
    </w:p>
    <w:p>
      <w:pPr>
        <w:pStyle w:val="TextBody"/>
        <w:jc w:val="both"/>
        <w:rPr/>
      </w:pPr>
      <w:r>
        <w:rPr/>
        <w:t>"7. В течение 2011 - 2019 годов для страхователей, указанных в подпунктах 4 - 6 пункта 4 настоящей статьи, применяются следующие тарифы страховых взносов:</w:t>
      </w:r>
    </w:p>
    <w:tbl>
      <w:tblPr>
        <w:tblW w:w="9494" w:type="dxa"/>
        <w:jc w:val="left"/>
        <w:tblInd w:w="0" w:type="dxa"/>
        <w:tblBorders/>
        <w:tblCellMar>
          <w:top w:w="0" w:type="dxa"/>
          <w:left w:w="0" w:type="dxa"/>
          <w:bottom w:w="0" w:type="dxa"/>
          <w:right w:w="0" w:type="dxa"/>
        </w:tblCellMar>
      </w:tblPr>
      <w:tblGrid>
        <w:gridCol w:w="1695"/>
        <w:gridCol w:w="1695"/>
        <w:gridCol w:w="1702"/>
        <w:gridCol w:w="1702"/>
        <w:gridCol w:w="2700"/>
      </w:tblGrid>
      <w:tr>
        <w:trPr/>
        <w:tc>
          <w:tcPr>
            <w:tcW w:w="1695" w:type="dxa"/>
            <w:vMerge w:val="restart"/>
            <w:tcBorders/>
            <w:shd w:fill="auto" w:val="clear"/>
          </w:tcPr>
          <w:p>
            <w:pPr>
              <w:pStyle w:val="TableContents"/>
              <w:spacing w:before="0" w:after="283"/>
              <w:jc w:val="center"/>
              <w:rPr/>
            </w:pPr>
            <w:r>
              <w:rPr/>
              <w:t>Период</w:t>
            </w:r>
          </w:p>
        </w:tc>
        <w:tc>
          <w:tcPr>
            <w:tcW w:w="1695" w:type="dxa"/>
            <w:vMerge w:val="restart"/>
            <w:tcBorders/>
            <w:shd w:fill="auto" w:val="clear"/>
          </w:tcPr>
          <w:p>
            <w:pPr>
              <w:pStyle w:val="TableContents"/>
              <w:jc w:val="center"/>
              <w:rPr/>
            </w:pPr>
            <w:r>
              <w:rPr/>
              <w:t>Тариф</w:t>
            </w:r>
          </w:p>
          <w:p>
            <w:pPr>
              <w:pStyle w:val="TableContents"/>
              <w:spacing w:before="0" w:after="283"/>
              <w:jc w:val="center"/>
              <w:rPr/>
            </w:pPr>
            <w:r>
              <w:rPr/>
              <w:t>страхового взноса</w:t>
            </w:r>
          </w:p>
        </w:tc>
        <w:tc>
          <w:tcPr>
            <w:tcW w:w="3404" w:type="dxa"/>
            <w:gridSpan w:val="2"/>
            <w:tcBorders/>
            <w:shd w:fill="auto" w:val="clear"/>
          </w:tcPr>
          <w:p>
            <w:pPr>
              <w:pStyle w:val="TableContents"/>
              <w:jc w:val="center"/>
              <w:rPr/>
            </w:pPr>
            <w:r>
              <w:rPr/>
              <w:t>На финансирование</w:t>
            </w:r>
          </w:p>
          <w:p>
            <w:pPr>
              <w:pStyle w:val="TableContents"/>
              <w:spacing w:before="0" w:after="283"/>
              <w:jc w:val="center"/>
              <w:rPr/>
            </w:pPr>
            <w:r>
              <w:rPr/>
              <w:t>страховой части трудовой пенсии</w:t>
            </w:r>
          </w:p>
        </w:tc>
        <w:tc>
          <w:tcPr>
            <w:tcW w:w="2700" w:type="dxa"/>
            <w:tcBorders/>
            <w:shd w:fill="auto" w:val="clear"/>
          </w:tcPr>
          <w:p>
            <w:pPr>
              <w:pStyle w:val="TableContents"/>
              <w:spacing w:before="0" w:after="283"/>
              <w:jc w:val="center"/>
              <w:rPr/>
            </w:pPr>
            <w:r>
              <w:rPr/>
              <w:t>На финансирование накопительной части трудовой пенсии</w:t>
            </w:r>
          </w:p>
        </w:tc>
      </w:tr>
      <w:tr>
        <w:trPr/>
        <w:tc>
          <w:tcPr>
            <w:tcW w:w="1695" w:type="dxa"/>
            <w:vMerge w:val="continue"/>
            <w:tcBorders/>
            <w:shd w:fill="auto" w:val="clear"/>
          </w:tcPr>
          <w:p>
            <w:pPr>
              <w:pStyle w:val="TableContents"/>
              <w:spacing w:before="0" w:after="283"/>
              <w:rPr>
                <w:sz w:val="4"/>
                <w:szCs w:val="4"/>
              </w:rPr>
            </w:pPr>
            <w:r>
              <w:rPr>
                <w:sz w:val="4"/>
                <w:szCs w:val="4"/>
              </w:rPr>
            </w:r>
          </w:p>
        </w:tc>
        <w:tc>
          <w:tcPr>
            <w:tcW w:w="1695" w:type="dxa"/>
            <w:vMerge w:val="continue"/>
            <w:tcBorders/>
            <w:shd w:fill="auto" w:val="clear"/>
          </w:tcPr>
          <w:p>
            <w:pPr>
              <w:pStyle w:val="TableContents"/>
              <w:spacing w:before="0" w:after="283"/>
              <w:rPr>
                <w:sz w:val="4"/>
                <w:szCs w:val="4"/>
              </w:rPr>
            </w:pPr>
            <w:r>
              <w:rPr>
                <w:sz w:val="4"/>
                <w:szCs w:val="4"/>
              </w:rPr>
            </w:r>
          </w:p>
        </w:tc>
        <w:tc>
          <w:tcPr>
            <w:tcW w:w="1702" w:type="dxa"/>
            <w:tcBorders/>
            <w:shd w:fill="auto" w:val="clear"/>
          </w:tcPr>
          <w:p>
            <w:pPr>
              <w:pStyle w:val="TableContents"/>
              <w:spacing w:before="0" w:after="283"/>
              <w:jc w:val="center"/>
              <w:rPr/>
            </w:pPr>
            <w:r>
              <w:rPr/>
              <w:t>для лиц 1966 года рождения и старше</w:t>
            </w:r>
          </w:p>
        </w:tc>
        <w:tc>
          <w:tcPr>
            <w:tcW w:w="1702" w:type="dxa"/>
            <w:tcBorders/>
            <w:shd w:fill="auto" w:val="clear"/>
          </w:tcPr>
          <w:p>
            <w:pPr>
              <w:pStyle w:val="TableContents"/>
              <w:spacing w:before="0" w:after="283"/>
              <w:jc w:val="center"/>
              <w:rPr/>
            </w:pPr>
            <w:r>
              <w:rPr/>
              <w:t>для лиц 1967 года рождения и моложе</w:t>
            </w:r>
          </w:p>
        </w:tc>
        <w:tc>
          <w:tcPr>
            <w:tcW w:w="2700" w:type="dxa"/>
            <w:tcBorders/>
            <w:shd w:fill="auto" w:val="clear"/>
          </w:tcPr>
          <w:p>
            <w:pPr>
              <w:pStyle w:val="TableContents"/>
              <w:spacing w:before="0" w:after="283"/>
              <w:jc w:val="center"/>
              <w:rPr/>
            </w:pPr>
            <w:r>
              <w:rPr/>
              <w:t>для лиц 1967 года рождения и моложе</w:t>
            </w:r>
          </w:p>
        </w:tc>
      </w:tr>
      <w:tr>
        <w:trPr/>
        <w:tc>
          <w:tcPr>
            <w:tcW w:w="1695" w:type="dxa"/>
            <w:tcBorders/>
            <w:shd w:fill="auto" w:val="clear"/>
          </w:tcPr>
          <w:p>
            <w:pPr>
              <w:pStyle w:val="TableContents"/>
              <w:spacing w:before="0" w:after="283"/>
              <w:rPr/>
            </w:pPr>
            <w:r>
              <w:rPr/>
              <w:t>2011 - 2017 годы</w:t>
            </w:r>
          </w:p>
        </w:tc>
        <w:tc>
          <w:tcPr>
            <w:tcW w:w="1695" w:type="dxa"/>
            <w:tcBorders/>
            <w:shd w:fill="auto" w:val="clear"/>
          </w:tcPr>
          <w:p>
            <w:pPr>
              <w:pStyle w:val="TableContents"/>
              <w:spacing w:before="0" w:after="283"/>
              <w:jc w:val="center"/>
              <w:rPr/>
            </w:pPr>
            <w:r>
              <w:rPr/>
              <w:t>8,0 процента</w:t>
            </w:r>
          </w:p>
        </w:tc>
        <w:tc>
          <w:tcPr>
            <w:tcW w:w="1702" w:type="dxa"/>
            <w:tcBorders/>
            <w:shd w:fill="auto" w:val="clear"/>
          </w:tcPr>
          <w:p>
            <w:pPr>
              <w:pStyle w:val="TableContents"/>
              <w:jc w:val="center"/>
              <w:rPr/>
            </w:pPr>
            <w:r>
              <w:rPr/>
              <w:t>8,0</w:t>
            </w:r>
          </w:p>
          <w:p>
            <w:pPr>
              <w:pStyle w:val="TableContents"/>
              <w:spacing w:before="0" w:after="283"/>
              <w:jc w:val="center"/>
              <w:rPr/>
            </w:pPr>
            <w:r>
              <w:rPr/>
              <w:t>процента</w:t>
            </w:r>
          </w:p>
        </w:tc>
        <w:tc>
          <w:tcPr>
            <w:tcW w:w="1702" w:type="dxa"/>
            <w:tcBorders/>
            <w:shd w:fill="auto" w:val="clear"/>
          </w:tcPr>
          <w:p>
            <w:pPr>
              <w:pStyle w:val="TableContents"/>
              <w:jc w:val="center"/>
              <w:rPr/>
            </w:pPr>
            <w:r>
              <w:rPr/>
              <w:t>2,0</w:t>
            </w:r>
          </w:p>
          <w:p>
            <w:pPr>
              <w:pStyle w:val="TableContents"/>
              <w:spacing w:before="0" w:after="283"/>
              <w:jc w:val="center"/>
              <w:rPr/>
            </w:pPr>
            <w:r>
              <w:rPr/>
              <w:t>процента</w:t>
            </w:r>
          </w:p>
        </w:tc>
        <w:tc>
          <w:tcPr>
            <w:tcW w:w="2700" w:type="dxa"/>
            <w:tcBorders/>
            <w:shd w:fill="auto" w:val="clear"/>
          </w:tcPr>
          <w:p>
            <w:pPr>
              <w:pStyle w:val="TableContents"/>
              <w:jc w:val="center"/>
              <w:rPr/>
            </w:pPr>
            <w:r>
              <w:rPr/>
              <w:t>6,0</w:t>
            </w:r>
          </w:p>
          <w:p>
            <w:pPr>
              <w:pStyle w:val="TableContents"/>
              <w:spacing w:before="0" w:after="283"/>
              <w:jc w:val="center"/>
              <w:rPr/>
            </w:pPr>
            <w:r>
              <w:rPr/>
              <w:t>процента</w:t>
            </w:r>
          </w:p>
        </w:tc>
      </w:tr>
      <w:tr>
        <w:trPr/>
        <w:tc>
          <w:tcPr>
            <w:tcW w:w="1695" w:type="dxa"/>
            <w:tcBorders/>
            <w:shd w:fill="auto" w:val="clear"/>
          </w:tcPr>
          <w:p>
            <w:pPr>
              <w:pStyle w:val="TableContents"/>
              <w:spacing w:before="0" w:after="283"/>
              <w:rPr/>
            </w:pPr>
            <w:r>
              <w:rPr/>
              <w:t>2018 год</w:t>
            </w:r>
          </w:p>
        </w:tc>
        <w:tc>
          <w:tcPr>
            <w:tcW w:w="1695" w:type="dxa"/>
            <w:tcBorders/>
            <w:shd w:fill="auto" w:val="clear"/>
          </w:tcPr>
          <w:p>
            <w:pPr>
              <w:pStyle w:val="TableContents"/>
              <w:spacing w:before="0" w:after="283"/>
              <w:jc w:val="center"/>
              <w:rPr/>
            </w:pPr>
            <w:r>
              <w:rPr/>
              <w:t>13,0 процента</w:t>
            </w:r>
          </w:p>
        </w:tc>
        <w:tc>
          <w:tcPr>
            <w:tcW w:w="1702" w:type="dxa"/>
            <w:tcBorders/>
            <w:shd w:fill="auto" w:val="clear"/>
          </w:tcPr>
          <w:p>
            <w:pPr>
              <w:pStyle w:val="TableContents"/>
              <w:spacing w:before="0" w:after="283"/>
              <w:jc w:val="center"/>
              <w:rPr/>
            </w:pPr>
            <w:r>
              <w:rPr/>
              <w:t>13,0 процента</w:t>
            </w:r>
          </w:p>
        </w:tc>
        <w:tc>
          <w:tcPr>
            <w:tcW w:w="1702" w:type="dxa"/>
            <w:tcBorders/>
            <w:shd w:fill="auto" w:val="clear"/>
          </w:tcPr>
          <w:p>
            <w:pPr>
              <w:pStyle w:val="TableContents"/>
              <w:spacing w:before="0" w:after="283"/>
              <w:jc w:val="center"/>
              <w:rPr/>
            </w:pPr>
            <w:r>
              <w:rPr/>
              <w:t>7,0 процента</w:t>
            </w:r>
          </w:p>
        </w:tc>
        <w:tc>
          <w:tcPr>
            <w:tcW w:w="2700" w:type="dxa"/>
            <w:tcBorders/>
            <w:shd w:fill="auto" w:val="clear"/>
          </w:tcPr>
          <w:p>
            <w:pPr>
              <w:pStyle w:val="TableContents"/>
              <w:jc w:val="center"/>
              <w:rPr/>
            </w:pPr>
            <w:r>
              <w:rPr/>
              <w:t>6,0</w:t>
            </w:r>
          </w:p>
          <w:p>
            <w:pPr>
              <w:pStyle w:val="TableContents"/>
              <w:spacing w:before="0" w:after="283"/>
              <w:jc w:val="center"/>
              <w:rPr/>
            </w:pPr>
            <w:r>
              <w:rPr/>
              <w:t>процента</w:t>
            </w:r>
          </w:p>
        </w:tc>
      </w:tr>
      <w:tr>
        <w:trPr/>
        <w:tc>
          <w:tcPr>
            <w:tcW w:w="1695" w:type="dxa"/>
            <w:tcBorders/>
            <w:shd w:fill="auto" w:val="clear"/>
          </w:tcPr>
          <w:p>
            <w:pPr>
              <w:pStyle w:val="TableContents"/>
              <w:spacing w:before="0" w:after="283"/>
              <w:rPr/>
            </w:pPr>
            <w:r>
              <w:rPr/>
              <w:t>2019 год</w:t>
            </w:r>
          </w:p>
        </w:tc>
        <w:tc>
          <w:tcPr>
            <w:tcW w:w="1695" w:type="dxa"/>
            <w:tcBorders/>
            <w:shd w:fill="auto" w:val="clear"/>
          </w:tcPr>
          <w:p>
            <w:pPr>
              <w:pStyle w:val="TableContents"/>
              <w:spacing w:before="0" w:after="283"/>
              <w:jc w:val="center"/>
              <w:rPr/>
            </w:pPr>
            <w:r>
              <w:rPr/>
              <w:t>20,0 процента</w:t>
            </w:r>
          </w:p>
        </w:tc>
        <w:tc>
          <w:tcPr>
            <w:tcW w:w="1702" w:type="dxa"/>
            <w:tcBorders/>
            <w:shd w:fill="auto" w:val="clear"/>
          </w:tcPr>
          <w:p>
            <w:pPr>
              <w:pStyle w:val="TableContents"/>
              <w:spacing w:before="0" w:after="283"/>
              <w:jc w:val="center"/>
              <w:rPr/>
            </w:pPr>
            <w:r>
              <w:rPr/>
              <w:t>20,0 процента</w:t>
            </w:r>
          </w:p>
        </w:tc>
        <w:tc>
          <w:tcPr>
            <w:tcW w:w="1702" w:type="dxa"/>
            <w:tcBorders/>
            <w:shd w:fill="auto" w:val="clear"/>
          </w:tcPr>
          <w:p>
            <w:pPr>
              <w:pStyle w:val="TableContents"/>
              <w:spacing w:before="0" w:after="283"/>
              <w:jc w:val="center"/>
              <w:rPr/>
            </w:pPr>
            <w:r>
              <w:rPr/>
              <w:t>14,0 процента</w:t>
            </w:r>
          </w:p>
        </w:tc>
        <w:tc>
          <w:tcPr>
            <w:tcW w:w="2700" w:type="dxa"/>
            <w:tcBorders/>
            <w:shd w:fill="auto" w:val="clear"/>
          </w:tcPr>
          <w:p>
            <w:pPr>
              <w:pStyle w:val="TableContents"/>
              <w:jc w:val="center"/>
              <w:rPr/>
            </w:pPr>
            <w:r>
              <w:rPr/>
              <w:t>6,0</w:t>
            </w:r>
          </w:p>
          <w:p>
            <w:pPr>
              <w:pStyle w:val="TableContents"/>
              <w:spacing w:before="0" w:after="283"/>
              <w:jc w:val="center"/>
              <w:rPr/>
            </w:pPr>
            <w:r>
              <w:rPr/>
              <w:t>процента.</w:t>
            </w:r>
          </w:p>
        </w:tc>
      </w:tr>
    </w:tbl>
    <w:p>
      <w:pPr>
        <w:pStyle w:val="TextBody"/>
        <w:jc w:val="both"/>
        <w:rPr/>
      </w:pPr>
      <w:r>
        <w:rPr/>
        <w:t>8. Страхователи, указанные в подпункте 4 пункта 2 и подпунктах 4 и 6 пункта 4 настоящей статьи, применяют тарифы страховых взносов в соответствии с настоящей статьей при выполнении этими страхователями условий, установленных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pPr>
        <w:pStyle w:val="TextBody"/>
        <w:jc w:val="both"/>
        <w:rPr/>
      </w:pPr>
      <w:r>
        <w:rPr/>
        <w:t>Статья 3</w:t>
      </w:r>
    </w:p>
    <w:p>
      <w:pPr>
        <w:pStyle w:val="TextBody"/>
        <w:jc w:val="both"/>
        <w:rPr/>
      </w:pPr>
      <w:r>
        <w:rPr/>
        <w:t>1. Настоящий Федеральный закон вступает в силу со дня его официального опубликования, за исключением пункта 1 статьи 1 настоящего Федерального закона.</w:t>
      </w:r>
    </w:p>
    <w:p>
      <w:pPr>
        <w:pStyle w:val="TextBody"/>
        <w:jc w:val="both"/>
        <w:rPr/>
      </w:pPr>
      <w:r>
        <w:rPr/>
        <w:t>2. Пункт 1 статьи 1 настоящего Федерального закона вступает в силу с 1 января 2011 года.</w:t>
      </w:r>
    </w:p>
    <w:p>
      <w:pPr>
        <w:pStyle w:val="TextBody"/>
        <w:jc w:val="both"/>
        <w:rPr/>
      </w:pPr>
      <w:r>
        <w:rPr/>
        <w:t>3. Действие положений пункта 4 части 2, частей 2.1 - 2.5 статьи 57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(в редакции настоящего Федерального закона) и подпункта 4 пункта 2 статьи 33 Федерального закона от 15 декабря 2001 года N 167-ФЗ "Об обязательном пенсионном страховании в Российской Федерации" (в редакции настоящего Федерального закона) распространяется на правоотношения, возникшие с 1 января 2010 года.</w:t>
      </w:r>
    </w:p>
    <w:tbl>
      <w:tblPr>
        <w:tblW w:w="9615" w:type="dxa"/>
        <w:jc w:val="left"/>
        <w:tblInd w:w="28" w:type="dxa"/>
        <w:tblBorders>
          <w:top w:val="single" w:sz="6" w:space="0" w:color="808080"/>
          <w:left w:val="single" w:sz="6" w:space="0" w:color="808080"/>
          <w:bottom w:val="single" w:sz="2" w:space="0" w:color="808080"/>
          <w:insideH w:val="single" w:sz="2" w:space="0" w:color="808080"/>
        </w:tblBorders>
        <w:tblCellMar>
          <w:top w:w="28" w:type="dxa"/>
          <w:left w:w="20" w:type="dxa"/>
          <w:bottom w:w="28" w:type="dxa"/>
          <w:right w:w="28" w:type="dxa"/>
        </w:tblCellMar>
      </w:tblPr>
      <w:tblGrid>
        <w:gridCol w:w="2400"/>
        <w:gridCol w:w="2400"/>
        <w:gridCol w:w="2400"/>
        <w:gridCol w:w="2415"/>
      </w:tblGrid>
      <w:tr>
        <w:trPr/>
        <w:tc>
          <w:tcPr>
            <w:tcW w:w="2400" w:type="dxa"/>
            <w:vMerge w:val="restart"/>
            <w:tcBorders>
              <w:top w:val="single" w:sz="6" w:space="0" w:color="808080"/>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Пенсионный фонд Российской Федерации</w:t>
            </w:r>
          </w:p>
        </w:tc>
        <w:tc>
          <w:tcPr>
            <w:tcW w:w="2400" w:type="dxa"/>
            <w:vMerge w:val="restart"/>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Фонд социального страхования Российской Федерации</w:t>
            </w:r>
          </w:p>
        </w:tc>
        <w:tc>
          <w:tcPr>
            <w:tcW w:w="4815" w:type="dxa"/>
            <w:gridSpan w:val="2"/>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Фонды обязательного медицинского страхования</w:t>
            </w:r>
          </w:p>
        </w:tc>
      </w:tr>
      <w:tr>
        <w:trPr/>
        <w:tc>
          <w:tcPr>
            <w:tcW w:w="2400"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2400"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240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Федеральный фонд обязательного медицинского страхования</w:t>
            </w:r>
          </w:p>
        </w:tc>
        <w:tc>
          <w:tcPr>
            <w:tcW w:w="241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Территориальные фонды обязательного медицинского страхования</w:t>
            </w:r>
          </w:p>
        </w:tc>
      </w:tr>
      <w:tr>
        <w:trPr/>
        <w:tc>
          <w:tcPr>
            <w:tcW w:w="2400" w:type="dxa"/>
            <w:tcBorders>
              <w:left w:val="single" w:sz="6" w:space="0" w:color="808080"/>
              <w:bottom w:val="single" w:sz="6" w:space="0" w:color="808080"/>
              <w:insideH w:val="single" w:sz="6" w:space="0" w:color="808080"/>
            </w:tcBorders>
            <w:shd w:fill="auto" w:val="clear"/>
            <w:tcMar>
              <w:left w:w="20" w:type="dxa"/>
            </w:tcMar>
          </w:tcPr>
          <w:p>
            <w:pPr>
              <w:pStyle w:val="TableContents"/>
              <w:spacing w:before="0" w:after="283"/>
              <w:rPr/>
            </w:pPr>
            <w:r>
              <w:rPr/>
              <w:t>14,0 процента</w:t>
            </w:r>
          </w:p>
        </w:tc>
        <w:tc>
          <w:tcPr>
            <w:tcW w:w="2400" w:type="dxa"/>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rPr/>
            </w:pPr>
            <w:r>
              <w:rPr/>
              <w:t>0,0 процента</w:t>
            </w:r>
          </w:p>
        </w:tc>
        <w:tc>
          <w:tcPr>
            <w:tcW w:w="2400" w:type="dxa"/>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rPr/>
            </w:pPr>
            <w:r>
              <w:rPr/>
              <w:t>0,0 процента</w:t>
            </w:r>
          </w:p>
        </w:tc>
        <w:tc>
          <w:tcPr>
            <w:tcW w:w="2415" w:type="dxa"/>
            <w:tcBorders>
              <w:left w:val="single" w:sz="2" w:space="0" w:color="808080"/>
              <w:bottom w:val="single" w:sz="6" w:space="0" w:color="808080"/>
              <w:right w:val="single" w:sz="6" w:space="0" w:color="808080"/>
              <w:insideH w:val="single" w:sz="6" w:space="0" w:color="808080"/>
              <w:insideV w:val="single" w:sz="6" w:space="0" w:color="808080"/>
            </w:tcBorders>
            <w:shd w:fill="auto" w:val="clear"/>
            <w:tcMar>
              <w:left w:w="27" w:type="dxa"/>
            </w:tcMar>
          </w:tcPr>
          <w:p>
            <w:pPr>
              <w:pStyle w:val="TableContents"/>
              <w:spacing w:before="0" w:after="283"/>
              <w:rPr/>
            </w:pPr>
            <w:r>
              <w:rPr/>
              <w:t>0,0 процента</w:t>
            </w:r>
          </w:p>
        </w:tc>
      </w:tr>
    </w:tbl>
    <w:p>
      <w:pPr>
        <w:pStyle w:val="TextBody"/>
        <w:spacing w:before="0" w:after="283"/>
        <w:rPr/>
      </w:pPr>
      <w:r>
        <w:rPr/>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