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на 2011-2013 годы</w:t>
      </w:r>
    </w:p>
    <w:p>
      <w:pPr>
        <w:pStyle w:val="Heading2"/>
        <w:rPr/>
      </w:pPr>
      <w:r>
        <w:rPr/>
        <w:t>Отраслевое соглашение по организациям нефтяной, газовой отраслей промышленности и строительства объектов нефтегазового комплекса Российской Федерации на 2011-2013 годы</w:t>
      </w:r>
    </w:p>
    <w:p>
      <w:pPr>
        <w:pStyle w:val="TextBody"/>
        <w:spacing w:before="0" w:after="0"/>
        <w:rPr/>
      </w:pPr>
      <w:r>
        <w:rPr/>
        <w:t xml:space="preserve">Соглашение зарегистрировано в Роструде 3 февраля 2011 года №167/11-13.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