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№120 от 1 марта 2011 г.</w:t>
      </w:r>
    </w:p>
    <w:p>
      <w:pPr>
        <w:pStyle w:val="Heading2"/>
        <w:rPr/>
      </w:pPr>
      <w:r>
        <w:rPr/>
        <w:t>«О внесении изменений в Положение "Об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материнством"»</w:t>
      </w:r>
    </w:p>
    <w:p>
      <w:pPr>
        <w:pStyle w:val="TextBody"/>
        <w:rPr/>
      </w:pPr>
      <w:r>
        <w:rPr/>
        <w:t>Правительство Российской Федерации постановляет: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прилагаемые изменения, которые вносятся в Положение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материнством, утвержденное Постановлением Правительства Российской Федерации от 15 июня 2007 г. N 375 (Собрание законодательства Российской Федерации, 2007, N 25, ст. 3042; 2009, N 43, ст. 5088).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Настоящее Постановление распространяется на правоотношения, возникшие с 1 января 2011 г. 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</w:t>
        <w:br/>
        <w:t>В. Путин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