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Национальный доклад по выполнению обязательств по Европейской социальной хартии (пересмотренной) от 3 мая 1996 года по тематической группе № 1 «Занятость, профессиональное обучение и равные возможности»</w:t>
      </w:r>
    </w:p>
    <w:p>
      <w:pPr>
        <w:pStyle w:val="Heading2"/>
        <w:rPr/>
      </w:pPr>
      <w:r>
        <w:rPr/>
        <w:t>Национальный доклад по выполнению обязательств по Европейской социальной хартии (пересмотренной) от 3 мая 1996 года по тематической группе № 1 «Занятость, профессиональное обучение и равные возможности»</w:t>
      </w:r>
    </w:p>
    <w:p>
      <w:pPr>
        <w:pStyle w:val="TextBody"/>
        <w:rPr/>
      </w:pPr>
      <w:r>
        <w:rPr/>
        <w:t>В докладе отражена информация о выполнении обязательств по следующим статьям Европейской социальной хартии: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Статья 1 – Право на труд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Статья 9 –</w:t>
      </w:r>
      <w:r>
        <w:rPr>
          <w:rStyle w:val="StrongEmphasis"/>
        </w:rPr>
        <w:t xml:space="preserve"> </w:t>
      </w:r>
      <w:r>
        <w:rPr/>
        <w:t>Право на профессиональную ориентацию</w:t>
      </w:r>
      <w:r>
        <w:rPr>
          <w:rStyle w:val="StrongEmphasis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Статья 10 – Всеобщее право на соответствующую профессиональную подготовку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Статья 15 (пункты 1.2) – Право инвалидов на независимость, социальную адаптацию и участие в общественной жизни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Статья 18 (пункт 4) – Право заниматься приносящей доход деятельностью на территории других государств-участников Хартии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Статья 20 – Право на равные возможности и равное обращение в области труда и занятости без дискриминации по признаку пола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Статья 24 – Право работников на защиту при увольнении.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