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№1н от 31 мая 2012 г.</w:t>
      </w:r>
    </w:p>
    <w:p>
      <w:pPr>
        <w:pStyle w:val="Heading2"/>
        <w:rPr/>
      </w:pPr>
      <w:r>
        <w:rPr/>
        <w:t>«Об утверждении перечня должностей федеральной государственной гражданской службы Министерства труда и социальной защиты Российской Федерации,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</w:t>
      </w:r>
    </w:p>
    <w:p>
      <w:pPr>
        <w:pStyle w:val="TextBody"/>
        <w:spacing w:before="0" w:after="0"/>
        <w:rPr/>
      </w:pPr>
      <w:r>
        <w:rPr/>
        <w:t>В соответствии с частью 3 статьи 22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6159; 2010, N 5, ст. 459; N 7, ст. 704; N 49, ст. 6413; N 51 (ч. III), ст. 6810; 2011, N 1, ст. N 31; N 27, ст. 3866; N 29, ст. 4295; N 48, ст. 6730; N 49, ст. 7333; N 50, ст. 7337) приказываю:</w:t>
      </w:r>
    </w:p>
    <w:p>
      <w:pPr>
        <w:pStyle w:val="TextBody"/>
        <w:rPr/>
      </w:pPr>
      <w:r>
        <w:rPr/>
        <w:t>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