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Минтруда от 18 сентября 2012 г.</w:t>
      </w:r>
    </w:p>
    <w:p>
      <w:pPr>
        <w:pStyle w:val="Heading2"/>
        <w:spacing w:before="200" w:after="120"/>
        <w:rPr/>
      </w:pPr>
      <w:r>
        <w:rPr/>
        <w:t>«Методика формирования и обновления карт доступности объектов и услуг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