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Проект приказа Минтруда России от 15 октября 2012 г.</w:t>
      </w:r>
    </w:p>
    <w:p>
      <w:pPr>
        <w:pStyle w:val="Heading2"/>
        <w:rPr/>
      </w:pPr>
      <w:r>
        <w:rPr/>
        <w:t>«Об утверждении Административного регламента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 »</w:t>
      </w:r>
    </w:p>
    <w:p>
      <w:pPr>
        <w:pStyle w:val="TextBody"/>
        <w:rPr/>
      </w:pPr>
      <w:r>
        <w:rPr/>
        <w:t>В соответствии с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3873, 3880; № 29, ст. 4291; № 30, ст. 4587; № 49, ст. 7061) и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 п р и к а з ы в а ю:</w:t>
      </w:r>
    </w:p>
    <w:p>
      <w:pPr>
        <w:pStyle w:val="TextBody"/>
        <w:rPr/>
      </w:pPr>
      <w:r>
        <w:rPr/>
        <w:t>Утвердить прилагаемый Административный регламент предоставления Пенсионным фондом Российской Федерации государственной услуги по установлению ежемесячной денежной выплаты отдельным категориям граждан в Российской Федерации.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