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№575 от 6 декабря 2012 г.</w:t>
      </w:r>
    </w:p>
    <w:p>
      <w:pPr>
        <w:pStyle w:val="Heading2"/>
        <w:rPr/>
      </w:pPr>
      <w:r>
        <w:rPr/>
        <w:t>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17 марта 2011 г. № 175 «О государственной программе Российской Федерации «Доступная среда» на 2011 - 2015 годы» (Собрание законодательства Российской Федерации, 2011, № 13, ст. 1765; № 50, ст. 7391; 2012, № 3, ст. 418) п р и к а з ы в а ю:</w:t>
      </w:r>
    </w:p>
    <w:p>
      <w:pPr>
        <w:pStyle w:val="TextBody"/>
        <w:rPr/>
      </w:pPr>
      <w:r>
        <w:rPr/>
        <w:t>Утвердить примерную программу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