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29 декабря 2012 г.</w:t>
      </w:r>
    </w:p>
    <w:p>
      <w:pPr>
        <w:pStyle w:val="Heading2"/>
        <w:rPr/>
      </w:pPr>
      <w:r>
        <w:rPr/>
        <w:t>«О разработке проекта постановления Правительства Российской Федерации «Об утверждении Типовой формы трудового договора с руководителем государственного (муниципального) учреждения»»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4"/>
        <w:gridCol w:w="2681"/>
        <w:gridCol w:w="7190"/>
      </w:tblGrid>
      <w:tr>
        <w:trPr/>
        <w:tc>
          <w:tcPr>
            <w:tcW w:w="33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71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Постановление Правительства Российской Федерации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 нормативного правового акта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«Об утверждении Типовой формы трудового договора с руководителем государственного (муниципального) учреждения»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 дня официального опубликования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Руководители государственных (муниципальных) учреждений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Федеральным законом от 29 декабря 2012 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статья 275 Трудового кодекса Российской Федерации дополняется частью третьей, согласно которой 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  <w:p>
            <w:pPr>
              <w:pStyle w:val="TableContents"/>
              <w:rPr/>
            </w:pPr>
            <w:r>
              <w:rPr/>
              <w:t>В Типовой форме трудового договора, утверждаемой проектом постановления, подробно излагаются разделы, посвященные правам и обязанностям руководителя государственного (муниципального) учреждения, правам и обязанностям его работодателя, вопросы, связанные с рабочим временем и временем отдыха, оплатой труда и социальными гарантиями.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Так, в части оплаты труда в Типовой форме трудового договора в соответствии с пунктом 9 перечня поручения Президента Российской Федерации от 17 июля 2012 г. № Пр-1798 предусмотрено обеспечение достижения значений показателей соотношения средней заработной платы отдельных категорий работников учреждений со средней заработной платой в соответствующем субъекте Российской Федерации.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Проект постановления подготовлен в целях реализации Федерального закона от 29 декабря 2012 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и пункта 9 перечня поручения Президента Российской Федерации от 17 июля 2012 г. № Пр-1798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 нормативного правового акта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Министерство труда и социальной защиты Российской Федерации, Департамент оплаты труда, трудовых отношений и социального партнерства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127994, ГСП-4, г. Москва, ул. Ильинка, д. 21, </w:t>
            </w:r>
            <w:hyperlink r:id="rId2">
              <w:r>
                <w:rPr>
                  <w:rStyle w:val="InternetLink"/>
                </w:rPr>
                <w:t>www.rosmintrud.ru</w:t>
              </w:r>
            </w:hyperlink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15 календарных дней с даты размещения уведомления на официальном сайте Минтруда России.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Представление предложений по результатам обсуждения уведомления (на бумажном носителе и (или) в электронном виде)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Концепция проекта федерального закона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</w:tr>
      <w:tr>
        <w:trPr/>
        <w:tc>
          <w:tcPr>
            <w:tcW w:w="33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11.</w:t>
            </w:r>
          </w:p>
        </w:tc>
        <w:tc>
          <w:tcPr>
            <w:tcW w:w="268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71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