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23 января 2013 г.</w:t>
      </w:r>
    </w:p>
    <w:p>
      <w:pPr>
        <w:pStyle w:val="Heading2"/>
        <w:rPr/>
      </w:pPr>
      <w:r>
        <w:rPr/>
        <w:t>«Об утверждении формы и порядка выдачи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 »</w:t>
      </w:r>
    </w:p>
    <w:p>
      <w:pPr>
        <w:pStyle w:val="TextBody"/>
        <w:rPr/>
      </w:pPr>
      <w:r>
        <w:rPr/>
        <w:t>В соответствии с пунктом 3 части 2 статьи 4 Федерального закона от 29 декабря 2006 г. №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№ 1, ст. 18; 2009, № 30, ст. 3739; 2010, № 50, ст. 6601; 2012, № 53, ст. 7601) и пунктом 5.2.142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форму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согласно приложению № 1;</w:t>
      </w:r>
    </w:p>
    <w:p>
      <w:pPr>
        <w:pStyle w:val="TextBody"/>
        <w:rPr/>
      </w:pPr>
      <w:r>
        <w:rPr/>
        <w:t>порядок выдачи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согласно приложению № 2.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17 января 2011 г. № 4н «Об утверждении формы и порядка выдачи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год» (зарегистрирован Министерством юстиции Российской Федерации 1 марта 2011 г. № 19974).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