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11 февраля 2013 г.</w:t>
      </w:r>
    </w:p>
    <w:p>
      <w:pPr>
        <w:pStyle w:val="Heading2"/>
        <w:rPr/>
      </w:pPr>
      <w:r>
        <w:rPr/>
        <w:t>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55, ст. 7070;),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4829), приказываю:</w:t>
      </w:r>
    </w:p>
    <w:p>
      <w:pPr>
        <w:pStyle w:val="TextBody"/>
        <w:rPr/>
      </w:pPr>
      <w:r>
        <w:rPr/>
        <w:t>1. Утвердить прилагаемый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20 сентября 2011 г. № 1054н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работником» (зарегистрирован Министерством юстиции Российской Федерации 24 ноября 2011 г. № 22381).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