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13 февраля 2013 г.</w:t>
      </w:r>
    </w:p>
    <w:p>
      <w:pPr>
        <w:pStyle w:val="Heading2"/>
        <w:rPr/>
      </w:pPr>
      <w:r>
        <w:rPr/>
        <w:t>«О признании утратившим силу постановления Министерства труда и социального развития Российской Федерации от 15 апреля 2004 г. №46 «Об утверждении порядка регистрации пенсионных и страховых правил негосударственных пенсионных фондов» 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 xml:space="preserve">Признать утратившим силу постановление Министерства труда и социального развития Российской Федерации от 15 апреля 2004 г. № 46 </w:t>
        <w:br/>
        <w:t>«Об утверждении порядка регистрации пенсионных и страховых правил негосударственных пенсионных фондов» (зарегистрирован Министерством юстиции Российской Федерации 23 апреля 2004 г. № 5772).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