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постановления Правительства РФ от 5 марта 2013 г.</w:t>
      </w:r>
    </w:p>
    <w:p>
      <w:pPr>
        <w:pStyle w:val="Heading2"/>
        <w:rPr/>
      </w:pPr>
      <w:r>
        <w:rPr/>
        <w:t>«О внесении изменений в постановление Правительства Российской Федерации от 4 июня 2007 г. № 343 «Об осуществлении ежемесячных компенсационных выплат неработающим трудоспособным лицам, осуществляющим уход за нетрудоспособными гражданами»»</w:t>
      </w:r>
    </w:p>
    <w:p>
      <w:pPr>
        <w:pStyle w:val="TextBody"/>
        <w:rPr/>
      </w:pPr>
      <w:r>
        <w:rPr/>
        <w:t>В связи с принятием Указа Президента Российской Федерации «О ежемесячных выплатах лицам, осуществляющим уход за детьми-инвалидами и инвалидами с детства I группы» и постановления Правительства Российской Федерации «Об осуществлении ежемесячных выплат неработающим трудоспособным лицам, осуществляющим уход за детьми-инвалидами в возрасте до 18 лет и инвалидами с детства I группы» Правительство Российской Федерации п о с т а н о в л я е т:</w:t>
      </w:r>
    </w:p>
    <w:p>
      <w:pPr>
        <w:pStyle w:val="TextBody"/>
        <w:rPr/>
      </w:pPr>
      <w:r>
        <w:rPr/>
        <w:t>1.Утвердить прилагаемые изменения, которые вносятся в Правила осуществления ежемесячных компенсационных выплат неработающим трудоспособным лицам, осуществляющим уход за нетрудоспособными гражданами, утвержденные постановлением Правительства Российской Федерации от 4 июня 2007 г. № 343 «Об осуществлении ежемесячных компенсационных выплат неработающим трудоспособным лицам, осуществляющим уход за нетрудоспособными лицами» (Собрание законодательства Российской Федерации, 2007, № 24, ст. 2913; 2009, № 3, ст. 400; 2010, № 30, ст. 4094; 2012, № 27, ст. 3755).</w:t>
      </w:r>
    </w:p>
    <w:p>
      <w:pPr>
        <w:pStyle w:val="TextBody"/>
        <w:rPr/>
      </w:pPr>
      <w:r>
        <w:rPr/>
        <w:t xml:space="preserve">2.Настоящее постановление вступает в силу со дня его официального опубликования и распространяется на правоотношения, возникшие с 1 января 2013 г. 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