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№119н от 25 марта 2013 г.</w:t>
      </w:r>
    </w:p>
    <w:p>
      <w:pPr>
        <w:pStyle w:val="Heading2"/>
        <w:rPr/>
      </w:pPr>
      <w:r>
        <w:rPr/>
        <w:t>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</w:t>
      </w:r>
    </w:p>
    <w:p>
      <w:pPr>
        <w:pStyle w:val="TextBody"/>
        <w:rPr/>
      </w:pPr>
      <w:r>
        <w:rPr/>
        <w:t xml:space="preserve">В соответствии со статьей 144 Трудового кодекса Российской Федерации (Собрание законодательства Российской Федерации, 2002, N 1, ст. 3; 2006, N 27, ст. 2878; 2007, N 17, ст. 1930; N 43, ст. 5084) приказываю: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прилагаемые 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