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12 апреля 2013 г.</w:t>
      </w:r>
    </w:p>
    <w:p>
      <w:pPr>
        <w:pStyle w:val="Heading2"/>
        <w:spacing w:before="200" w:after="120"/>
        <w:rPr/>
      </w:pPr>
      <w:r>
        <w:rPr/>
        <w:t>«Протокол заседания коллегии Министерства труда и социальной защиты Российской Федерации»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