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от 12 апреля 2013 г.</w:t>
      </w:r>
    </w:p>
    <w:p>
      <w:pPr>
        <w:pStyle w:val="Heading2"/>
        <w:rPr/>
      </w:pPr>
      <w:r>
        <w:rPr/>
        <w:t>«О разработке проекта федерального закона «О внесении изменений в отдельные законодательные акты Российской Федерации» (по вопросам повышения ответственности за нарушение сроков выплаты заработной платы)»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40"/>
        <w:gridCol w:w="3981"/>
        <w:gridCol w:w="5884"/>
      </w:tblGrid>
      <w:tr>
        <w:trPr/>
        <w:tc>
          <w:tcPr>
            <w:tcW w:w="3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39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58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 нормативного правового акта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«О внесении изменений в отдельные законодательные акты Российской Федерации» (по вопросам повышения ответственности за нарушение сроков выплаты заработной платы)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 истечении месяца со дня официального опубликования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Организации, находящиеся в стадии банкротства, работники (бывшие работники) этих организаций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целях обеспечения завершения судебных процедур по делам о банкротстве по нормам законодательства, действовавшим до вступления в силу данного Федерального закона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Предусматривается внесение изменений в законодательство в целях обеспечения защиты трудовых прав работников на получение заработной платы в случае банкротства работодателя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В настоящее время законодательство содержит недостаточно положений, обеспечивающих эффективную защиту трудовых прав работников в случае банкротства.</w:t>
            </w:r>
          </w:p>
          <w:p>
            <w:pPr>
              <w:pStyle w:val="TableContents"/>
              <w:rPr/>
            </w:pPr>
            <w:r>
              <w:rPr/>
              <w:t>Так, предлагается обязать руководителя должника или индивидуального предпринимателя обратиться с заявлением в суд в случае если имеется непогашенная задолженность свыше трех месяцев по причине недостаточности денежных средств.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Кроме того, в целях исключения конкуренции требований предлагается требования об оплате труда лиц, работающих (работавших) по трудовому договору, выделить отдельно в составе требований второй очереди.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 нормативного правового акта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России, Департамент оплаты труда, трудовых отношений и социального партнерства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 12 апреля 2013 года – 27 апреля 2013 года.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 письменном виде, в адрес Минтруда России по адресу: 127994, Москва, ГСП-4, ул. Ильинка, 21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Концепция проекта федерального закона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требуется</w:t>
            </w:r>
          </w:p>
        </w:tc>
      </w:tr>
      <w:tr>
        <w:trPr/>
        <w:tc>
          <w:tcPr>
            <w:tcW w:w="34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398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58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