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№167н от 26 апреля 2013 г.</w:t>
      </w:r>
    </w:p>
    <w:p>
      <w:pPr>
        <w:pStyle w:val="Heading2"/>
        <w:rPr/>
      </w:pPr>
      <w:r>
        <w:rPr/>
        <w:t>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</w:t>
      </w:r>
    </w:p>
    <w:p>
      <w:pPr>
        <w:pStyle w:val="TextBody"/>
        <w:rPr/>
      </w:pPr>
      <w:r>
        <w:rPr/>
        <w:t>В соответствии с пунктом 15 приложения №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 2190-р (Собрание законодательства Российской Федерации, 2012, № 49, ст. 6909), п р и к а з ы в а ю:</w:t>
      </w:r>
    </w:p>
    <w:p>
      <w:pPr>
        <w:pStyle w:val="TextBody"/>
        <w:rPr/>
      </w:pPr>
      <w:r>
        <w:rPr/>
        <w:t xml:space="preserve">Утвердить прилагаемые рекомендации по оформлению трудовых отношений с работником государственного (муниципального) учреждения при введении эффективного контракта.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