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30 апреля 2013 г.</w:t>
      </w:r>
    </w:p>
    <w:p>
      <w:pPr>
        <w:pStyle w:val="Heading2"/>
        <w:rPr/>
      </w:pPr>
      <w:r>
        <w:rPr/>
        <w:t>«Состав Комиссии по проведению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(утвержден приказом Минтруда России от 30 апреля 2013 г. № 227-лс, с изменениями, внесенными приказом Минтруда России от 11 сентября 2015 г. № 440-лс)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81"/>
        <w:gridCol w:w="2330"/>
        <w:gridCol w:w="7094"/>
      </w:tblGrid>
      <w:tr>
        <w:trPr/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п.п.</w:t>
            </w:r>
          </w:p>
        </w:tc>
        <w:tc>
          <w:tcPr>
            <w:tcW w:w="23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Ф.И.О.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Замещаемая должность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Черкасов Алексей Анатольевич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(председатель)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Дмитрий Валерьевич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государственной политики в сфере государственной и муниципальной службы, противодействия коррупции (заместитель председателя)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Цыбина Ирина Владимировна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управления делами (заместитель председателя)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Татьяна Владимировна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государственной службы и кадров Департамента управления делами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Томилина Янина Вячеславовна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трудового законодательства Департамента правовой и международной деятельности</w:t>
            </w:r>
          </w:p>
        </w:tc>
      </w:tr>
      <w:tr>
        <w:trPr/>
        <w:tc>
          <w:tcPr>
            <w:tcW w:w="78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33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Санникова Анна Александровна</w:t>
            </w:r>
          </w:p>
        </w:tc>
        <w:tc>
          <w:tcPr>
            <w:tcW w:w="7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государственной службы и кадров Департамента управления делами (секретарь)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Примечание: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входят представители научных и образовательных учреждений, других организаций в качестве независимых экспертов – специалистов по вопросам, связанным с гражданской службой (по запросу).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включаются представители Общественного совета Министерства труда и социальной защиты Российской Федерации. Общее число этих представителей и независимых экспертов должно составлять не менее одной четверти от общего числа членов Комиссии.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входит директор Департамента, конкурс на замещение вакантной должности в котором проводится.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Кандидатуры представителей Общественного совета Министерства труда и социальной защиты Российской Федерации для включения в состав Комиссии представляются этим советом по запросу Министра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