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30 апреля 2013 г.</w:t>
      </w:r>
    </w:p>
    <w:p>
      <w:pPr>
        <w:pStyle w:val="Heading2"/>
        <w:spacing w:before="200" w:after="120"/>
        <w:rPr/>
      </w:pPr>
      <w:r>
        <w:rPr/>
        <w:t>«Методические рекомендации «Организация ротации федеральных государственных гражданских служащих в федеральных органах исполнительной власти»»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