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28 ноября 2013 г.</w:t>
      </w:r>
    </w:p>
    <w:p>
      <w:pPr>
        <w:pStyle w:val="Heading2"/>
        <w:rPr/>
      </w:pPr>
      <w:r>
        <w:rPr/>
        <w:t>«Ответы на вопросы Правительства Саратовской области по мониторингу реализации Указов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 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родителей», а также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 2190-р»</w:t>
      </w:r>
    </w:p>
    <w:p>
      <w:pPr>
        <w:pStyle w:val="TextBody"/>
        <w:rPr/>
      </w:pPr>
      <w:r>
        <w:rPr/>
        <w:t>1. О разработке показателей эффективности деятельности государственных учреждений субъектов Российской Федерации и муниципальных учреждений.</w:t>
      </w:r>
    </w:p>
    <w:p>
      <w:pPr>
        <w:pStyle w:val="TextBody"/>
        <w:rPr/>
      </w:pPr>
      <w:r>
        <w:rPr/>
        <w:t>В соответствии с Программой системы оплаты труда работников учреждений должны обеспечивать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показателям.</w:t>
      </w:r>
    </w:p>
    <w:p>
      <w:pPr>
        <w:pStyle w:val="TextBody"/>
        <w:rPr/>
      </w:pPr>
      <w:r>
        <w:rPr/>
        <w:t>При этом совершенствование системы стимулирующих выплат должно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(муниципальных) услуг (выполнения работ) на основе введения взаимоувязанной системы отраслевых показателей эффективности от федерального уровня до конкретных учреждения и работника.</w:t>
      </w:r>
    </w:p>
    <w:p>
      <w:pPr>
        <w:pStyle w:val="TextBody"/>
        <w:rPr/>
      </w:pPr>
      <w:r>
        <w:rPr/>
        <w:t>В этих целях Минтрудом России, Минздравом России, Минкультуры России и Минобрнауки России разработаны:</w:t>
      </w:r>
    </w:p>
    <w:p>
      <w:pPr>
        <w:pStyle w:val="TextBody"/>
        <w:rPr/>
      </w:pPr>
      <w:r>
        <w:rPr/>
        <w:t>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 (приказ Минтруда России от 1 июля 2013 г. № 287);</w:t>
      </w:r>
    </w:p>
    <w:p>
      <w:pPr>
        <w:pStyle w:val="TextBody"/>
        <w:rPr/>
      </w:pPr>
      <w:r>
        <w:rPr/>
        <w:t>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 (приказ Минздрава России от 28 июня 2013 г. № 421);</w:t>
      </w:r>
    </w:p>
    <w:p>
      <w:pPr>
        <w:pStyle w:val="TextBody"/>
        <w:rPr/>
      </w:pPr>
      <w:r>
        <w:rPr/>
        <w:t>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 (приказ Минкультуры России от 28 июня 2013 г. № 920);</w:t>
      </w:r>
    </w:p>
    <w:p>
      <w:pPr>
        <w:pStyle w:val="TextBody"/>
        <w:rPr/>
      </w:pPr>
      <w:r>
        <w:rPr/>
        <w:t>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работников (письмо Минобрнауки России от 20 июня 2013 года № АП-1073/02).</w:t>
      </w:r>
    </w:p>
    <w:p>
      <w:pPr>
        <w:pStyle w:val="TextBody"/>
        <w:rPr/>
      </w:pPr>
      <w:r>
        <w:rPr/>
        <w:t>На уровне субъектов Российской Федерации с учетом отраслевых целевых индикаторов устанавливаются соответствующие индикаторы развития образования, науки, культуры,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достижению.</w:t>
      </w:r>
    </w:p>
    <w:p>
      <w:pPr>
        <w:pStyle w:val="TextBody"/>
        <w:rPr/>
      </w:pPr>
      <w:r>
        <w:rPr/>
        <w:t>Критерии, показатели и периодичность оценки эффективности деятельности работников учреждений устанавливаются локальными нормативными актами учреждений, коллективными договорами, соглашениями, трудовыми договорами и определяются с учетом достижения целей и показателей эффективности деятельности учреждения.</w:t>
      </w:r>
    </w:p>
    <w:p>
      <w:pPr>
        <w:pStyle w:val="TextBody"/>
        <w:rPr/>
      </w:pPr>
      <w:r>
        <w:rPr/>
        <w:t>Периодичность оценки эффективности деятельности учреждений и их руководителей устанавливается органами, осуществляющими функции и полномочия учредителя в соответствии с положениями региональных «дорожных карт» по каждой сфере деятельности учреждения и с учетом вышеуказанных методических рекомендаций.</w:t>
      </w:r>
    </w:p>
    <w:p>
      <w:pPr>
        <w:pStyle w:val="TextBody"/>
        <w:rPr/>
      </w:pPr>
      <w:r>
        <w:rPr/>
        <w:t>2. О введении независимой оценки качества работы учреждений, оказывающих социальные услуги.</w:t>
      </w:r>
    </w:p>
    <w:p>
      <w:pPr>
        <w:pStyle w:val="TextBody"/>
        <w:rPr/>
      </w:pPr>
      <w:r>
        <w:rPr/>
        <w:t>Во исполнение подпункта «к» пункта 1 Указа Президента Российской Федерации от 7 мая 2012 г. № 597 «О мероприятиях по реализации государственной социальной политики» приняты 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 и распоряжение Правительства Российской Федерации от 30 марта 2013 года № 487-р, которым утвержден план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>
      <w:pPr>
        <w:pStyle w:val="TextBody"/>
        <w:rPr/>
      </w:pPr>
      <w:r>
        <w:rPr/>
        <w:t>Организатором проведения мониторингов и оценки качества работы учреждений, как правило, выступают органы исполнительной власти субъектов Российской Федерации, на которые возложены соответствующие функции, в том числе функции и полномочия учредителя учреждений в соответствующей сфере деятельности.</w:t>
      </w:r>
    </w:p>
    <w:p>
      <w:pPr>
        <w:pStyle w:val="TextBody"/>
        <w:rPr/>
      </w:pPr>
      <w:r>
        <w:rPr/>
        <w:t>Учитывая наличие региональных и отраслевых особенностей предоставления социальных услуг в субъектах Российской Федерации, сложились различные практики организации независимой системы оценки качества работы учреждений в сфере образования, культуры, здравоохранения, социального обслуживания (далее – независимая система оценки качества).</w:t>
      </w:r>
    </w:p>
    <w:p>
      <w:pPr>
        <w:pStyle w:val="TextBody"/>
        <w:rPr/>
      </w:pPr>
      <w:r>
        <w:rPr/>
        <w:t>Для размещения информации о проведении независимой оценки качества во многих субъектах Российской Федерации в сети «Интернет» используются официальные сайты органов исполнительной власти субъектов Российской Федерации, органов местного самоуправления, учреждений.</w:t>
      </w:r>
    </w:p>
    <w:p>
      <w:pPr>
        <w:pStyle w:val="TextBody"/>
        <w:rPr/>
      </w:pPr>
      <w:r>
        <w:rPr/>
        <w:t>Кроме того, Минтрудом России совместно с Минобрнауки России, Минздравом России и Минкультуры России проводится мониторинг практической реализации независимой системы оценки качества в субъектах Российской Федерации по следующим направлениям:</w:t>
      </w:r>
    </w:p>
    <w:p>
      <w:pPr>
        <w:pStyle w:val="TextBody"/>
        <w:rPr/>
      </w:pPr>
      <w:r>
        <w:rPr/>
        <w:t>информационная открытость для проведения оценки качества работы учреждений;</w:t>
      </w:r>
    </w:p>
    <w:p>
      <w:pPr>
        <w:pStyle w:val="TextBody"/>
        <w:rPr/>
      </w:pPr>
      <w:r>
        <w:rPr/>
        <w:t>организация независимой системы оценки качества с участием общественности;</w:t>
      </w:r>
    </w:p>
    <w:p>
      <w:pPr>
        <w:pStyle w:val="TextBody"/>
        <w:rPr/>
      </w:pPr>
      <w:r>
        <w:rPr/>
        <w:t>ведение публичных рейтингов и использование результатов оценки.</w:t>
      </w:r>
    </w:p>
    <w:p>
      <w:pPr>
        <w:pStyle w:val="TextBody"/>
        <w:rPr/>
      </w:pPr>
      <w:r>
        <w:rPr/>
        <w:t xml:space="preserve">Одновременно сообщаем, что открытость информации о деятельности учреждений, в том числе показателях, характеризующих качество их работы, обеспечивается на официальном сайте для размещения информации о государственных (муниципальных) учреждениях </w:t>
      </w:r>
      <w:hyperlink r:id="rId2">
        <w:r>
          <w:rPr>
            <w:rStyle w:val="InternetLink"/>
          </w:rPr>
          <w:t>www.bus.gov.ru</w:t>
        </w:r>
      </w:hyperlink>
      <w:r>
        <w:rPr/>
        <w:t xml:space="preserve"> в соответствии с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сайта».</w:t>
      </w:r>
    </w:p>
    <w:p>
      <w:pPr>
        <w:pStyle w:val="TextBody"/>
        <w:rPr/>
      </w:pPr>
      <w:r>
        <w:rPr/>
        <w:t>В целях создания условий для проведения мониторинга качества работы учреждений на указанном сайте Минфином России создан раздел «Система независимой оценки качества», который содержит, в том числе рейтинг открытости и прозрачности государственных и муниципальных учреждений в субъектах Российской Федерации за 2012 и 2013 годы. Данный рейтинг формируется исходя из полноты информации об учреждении, представленной на сайте, включая общую информацию, государственное (муниципальное) задание учреждения, показатели объема и качества услуг, установленные в государственном (муниципальном) задании, а также показатели планов финансово-хозяйственной деятельности.</w:t>
      </w:r>
    </w:p>
    <w:p>
      <w:pPr>
        <w:pStyle w:val="TextBody"/>
        <w:rPr/>
      </w:pPr>
      <w:r>
        <w:rPr/>
        <w:t>3. О внедрении систем нормирования труда.</w:t>
      </w:r>
    </w:p>
    <w:p>
      <w:pPr>
        <w:pStyle w:val="TextBody"/>
        <w:rPr/>
      </w:pPr>
      <w:r>
        <w:rPr/>
        <w:t>В соответствии со статьей 159 Трудового кодекса Российской Федерации (далее - Кодекс) работникам гарантируются государственное содействие системной организации нормирования труда и применение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договором.</w:t>
      </w:r>
    </w:p>
    <w:p>
      <w:pPr>
        <w:pStyle w:val="TextBody"/>
        <w:rPr/>
      </w:pPr>
      <w:r>
        <w:rPr/>
        <w:t>В соответствии с п. 10 Плана мероприятий Программы приказом Минтруда России от 30 сентября 2013 г. № 504 утверждены Методические рекомендации для государственных (муниципальных) учреждений по разработке системы нормирования труда. Кроме того, приказом Минтруда России от 30 сентября 2013 г. № 509 утвержден план по разработке в 2014 году типовых отраслевых (межотраслевых) норм труда.</w:t>
      </w:r>
    </w:p>
    <w:p>
      <w:pPr>
        <w:pStyle w:val="TextBody"/>
        <w:rPr/>
      </w:pPr>
      <w:r>
        <w:rPr/>
        <w:t>Кроме того, во исполнение поручения Правительства Российской Федерации от 26 июля 2013 г. № ОГ-П12-5317 Минздравом России, Минкультуры России и Минобрнауки России разработаны планы по разработке (изменению) типовых отраслевых норм труда.</w:t>
      </w:r>
    </w:p>
    <w:p>
      <w:pPr>
        <w:pStyle w:val="TextBody"/>
        <w:rPr/>
      </w:pPr>
      <w:r>
        <w:rPr/>
        <w:t>Следует отметить, что в настоящее время в системе образования действует приказ Минобрнауки России от 24 декабря 2010 г. № 2075 «О продолжительности рабочего времени (норм часов педагогической работы за ставку заработной платы) педагогических работников».</w:t>
      </w:r>
    </w:p>
    <w:p>
      <w:pPr>
        <w:pStyle w:val="TextBody"/>
        <w:rPr/>
      </w:pPr>
      <w:r>
        <w:rPr/>
        <w:t>Одновременно сообщаем, что в настоящее время Департаментом оплаты труда, трудовых отношений и социального партнерства Минтруда России проводится работа по разработке и наполнению раздела на сайте Минтруда России, посвященного нормированию труда.</w:t>
      </w:r>
    </w:p>
    <w:p>
      <w:pPr>
        <w:pStyle w:val="TextBody"/>
        <w:rPr/>
      </w:pPr>
      <w:r>
        <w:rPr/>
        <w:t>Планируется, что указанная работа будет завершена до конца 2013 года и, соответственно, раздел появится на сайте Минтруда России (www.rosmintrud.ru ) в открытом доступе для интернет - пользователей.</w:t>
      </w:r>
    </w:p>
    <w:p>
      <w:pPr>
        <w:pStyle w:val="TextBody"/>
        <w:rPr/>
      </w:pPr>
      <w:r>
        <w:rPr/>
        <w:t>4. О применении примерной формы трудового договора с работниками.</w:t>
      </w:r>
    </w:p>
    <w:p>
      <w:pPr>
        <w:pStyle w:val="TextBody"/>
        <w:rPr/>
      </w:pPr>
      <w:r>
        <w:rPr/>
        <w:t>В соответствии с Программой (раздел IV)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 Приложением № 3 к Программе утверждена примерная форма такого трудового договора с работником учреждения.</w:t>
      </w:r>
    </w:p>
    <w:p>
      <w:pPr>
        <w:pStyle w:val="TextBody"/>
        <w:rPr/>
      </w:pPr>
      <w:r>
        <w:rPr/>
        <w:t>При переходе на «эффективный контракт»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>
      <w:pPr>
        <w:pStyle w:val="TextBody"/>
        <w:rPr/>
      </w:pPr>
      <w:r>
        <w:rPr/>
        <w:t>Необходимым условием для перехода на «эффективный контракт» является установление в локальных нормативных актах по оплате и стимулированию труда показателей оценки эффективности деятельности. Данные показатели должны иметь количественное выражение и быть конкретизированы в трудовом договоре с работником для назначения ему стимулирующих выплат в зависимости от результатов его труда и качества оказываемых государственных (муниципальных) услуг.</w:t>
      </w:r>
    </w:p>
    <w:p>
      <w:pPr>
        <w:pStyle w:val="TextBody"/>
        <w:rPr/>
      </w:pPr>
      <w:r>
        <w:rPr/>
        <w:t>В соответствии со статьей 57 Трудового кодекса Российской Федерации в любом трудовом договоре с работником должна быть указана трудовая функция: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 Чтобы трудовой договор отвечал принципам «эффективного контракта», необходимо конкретизировать должностные обязанности применительно к специфике работы в организации, структурном подразделении, к конкретному рабочему месту с указанием содержания и объема должностных обязанностей.</w:t>
      </w:r>
    </w:p>
    <w:p>
      <w:pPr>
        <w:pStyle w:val="TextBody"/>
        <w:rPr/>
      </w:pPr>
      <w:r>
        <w:rPr/>
        <w:t>Таким образом, в целях учета отраслевой специфики учреждений, урегулированной законодательством Российской Федерации, отдельные условия, указанные в типовой форме, могут изменяться (дополняться). При этом такие изменения (дополнения) осуществляются при наличии оснований, предусмотренных действующим законодательством Российской Федерации.</w:t>
      </w:r>
    </w:p>
    <w:p>
      <w:pPr>
        <w:pStyle w:val="TextBody"/>
        <w:rPr/>
      </w:pPr>
      <w:r>
        <w:rPr/>
        <w:t>Вместе с тем, исходя из положений статей 57 (абзац 4 части 2), 59 (часть 2), 72 Кодекса, возможно внесение изменений в срочный трудовой договор в части изменения срока его действия (в пределах срока, установленного Кодексом или иными федеральными законами). Это значит, что до окончания срока действия трудового договора в него могут вноситься изменения путем составления и подписания соответствующего дополнительного соглашения к трудовому договору.</w:t>
      </w:r>
    </w:p>
    <w:p>
      <w:pPr>
        <w:pStyle w:val="TextBody"/>
        <w:rPr/>
      </w:pPr>
      <w:r>
        <w:rPr/>
        <w:t>Приказом Минтруда России от 26 апреля 2013 г. № 167н утверждены рекомендации по оформлению трудовых отношений с работником государственного (муниципального) учреждения при введении эффективного контракта.</w:t>
      </w:r>
    </w:p>
    <w:p>
      <w:pPr>
        <w:pStyle w:val="TextBody"/>
        <w:rPr/>
      </w:pPr>
      <w:r>
        <w:rPr/>
        <w:t>В рекомендациях отмечается, что при оформлении трудовых отношений при введении эффективного контракта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>
      <w:pPr>
        <w:pStyle w:val="TextBody"/>
        <w:rPr/>
      </w:pPr>
      <w:r>
        <w:rPr/>
        <w:t>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систему оплаты труда работников (включая размеры окладов (должностных окладов), ставок заработной платы, доплат, надбавок);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систему нормирования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труда работников по итогам аттестации рабочих мест, а также иные особые условия труда работников;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режим рабочего времени и времени отдыха;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штатное расписание учреждения;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условия, определяющие в необходимых случаях характер работы (подвижной, разъездной, в пути, другой характер работы). </w:t>
      </w:r>
    </w:p>
    <w:p>
      <w:pPr>
        <w:pStyle w:val="TextBody"/>
        <w:rPr/>
      </w:pPr>
      <w:r>
        <w:rPr/>
        <w:t>Кроме того, применяемая в учреждении система оплаты и стимулирования труда должна быть прозрачной, понятной работодателю и работнику и не допускать двойного толкования.</w:t>
      </w:r>
    </w:p>
    <w:p>
      <w:pPr>
        <w:pStyle w:val="TextBody"/>
        <w:rPr/>
      </w:pPr>
      <w:r>
        <w:rPr/>
        <w:t>Должностные обязанности работника могут быть определены в должностной инструкции. В таком случае должностная инструкция должна содержаться в приложении к трудовому договору с указанием на это в тексте трудового договора.</w:t>
      </w:r>
    </w:p>
    <w:p>
      <w:pPr>
        <w:pStyle w:val="TextBody"/>
        <w:rPr/>
      </w:pPr>
      <w:r>
        <w:rPr/>
        <w:t>Переход на «эффективный контракт» должен сопровождаться внедрением системы нормирования труда, соответствующей требованиям главы 22 Трудового кодекса Российской Федерации.</w:t>
      </w:r>
    </w:p>
    <w:p>
      <w:pPr>
        <w:pStyle w:val="TextBody"/>
        <w:rPr/>
      </w:pPr>
      <w:r>
        <w:rPr/>
        <w:t>Таким образом, для внедрения эффективного контракта, в трудовом договоре заключаемого с работником, должны быть отражены в полном объеме элементы эффективного контракта.</w:t>
      </w:r>
    </w:p>
    <w:p>
      <w:pPr>
        <w:pStyle w:val="TextBody"/>
        <w:rPr/>
      </w:pPr>
      <w:r>
        <w:rPr/>
        <w:t>Одновременно сообщаем, что при необходимости установленные работнику показатели должны быть пересмотрены. В данном случае заключается дополнительное соглашение к трудовому договору, в котором отражаются соответствующие показатели.</w:t>
      </w:r>
    </w:p>
    <w:p>
      <w:pPr>
        <w:pStyle w:val="TextBody"/>
        <w:rPr/>
      </w:pPr>
      <w:r>
        <w:rPr/>
        <w:t>5. О соотношении средней заработной платы руководителей и средней заработной платы работников в целом по учреждению за год.</w:t>
      </w:r>
    </w:p>
    <w:p>
      <w:pPr>
        <w:pStyle w:val="TextBody"/>
        <w:rPr/>
      </w:pPr>
      <w:r>
        <w:rPr/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 год, утвержденными решением Российской трехсторонней комиссии по регулированию социально-трудовых отношений от 21 декабря 2012 г. (протокол № 11, пункт VI.24) рекомендуется устанавливать предельный уровень соотношения средней заработной оплаты труда руководителей учреждений и средней заработной платы работников учреждений за отчетный год.</w:t>
      </w:r>
    </w:p>
    <w:p>
      <w:pPr>
        <w:pStyle w:val="TextBody"/>
        <w:rPr/>
      </w:pPr>
      <w:r>
        <w:rPr/>
        <w:t>Согласно Указаниям по заполнению форм федерального статистического наблюдения № П-4 «Сведения о численности, заработной плате и движении работников», утвержденным приказом Росстата от 24 октября 2011 г. № 435 (далее - Указания), средняя заработная плата в целом по организации является расчетным показателем и исчисляется в среднем на одного работника или на единицу отработанного ими времени.</w:t>
      </w:r>
    </w:p>
    <w:p>
      <w:pPr>
        <w:pStyle w:val="TextBody"/>
        <w:rPr/>
      </w:pPr>
      <w:r>
        <w:rPr/>
        <w:t>На уровне организации средняя заработная плата исчисляется отдельно по каждой категории работников: среднесписочной численности работников; средней численности внешних совместителей; средней численности работников, выполнявших работы по договорам гражданско-правового характера.</w:t>
      </w:r>
    </w:p>
    <w:p>
      <w:pPr>
        <w:pStyle w:val="TextBody"/>
        <w:rPr/>
      </w:pPr>
      <w:r>
        <w:rPr/>
        <w:t>Средняя заработная плата в организации рассчитывается делением фонда начисленной заработной платы соответствующей категории работников на среднюю численность той же категории работников (среднемесячная заработная плата) или на количество отработанных ими человеко-часов (среднечасовая заработная плата) за определенные периоды времени (период с начала года, год).</w:t>
      </w:r>
    </w:p>
    <w:p>
      <w:pPr>
        <w:pStyle w:val="TextBody"/>
        <w:rPr/>
      </w:pPr>
      <w:r>
        <w:rPr/>
        <w:t>При этом средняя заработная плата руководителей входит в расчет средней заработной платы работников.</w:t>
      </w:r>
    </w:p>
    <w:p>
      <w:pPr>
        <w:pStyle w:val="TextBody"/>
        <w:rPr/>
      </w:pPr>
      <w:r>
        <w:rPr/>
        <w:t>Одновременно сообщаем, что согласно Указаниям, в фонд заработной платы, в целях статистического учета, включаются начисленные организациями суммы оплаты труда в денежной 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>
      <w:pPr>
        <w:pStyle w:val="TextBody"/>
        <w:rPr/>
      </w:pPr>
      <w:r>
        <w:rPr/>
        <w:t>6. О достижении целевых показателей, установленных Указами Президента Российской Федерации.</w:t>
      </w:r>
    </w:p>
    <w:p>
      <w:pPr>
        <w:pStyle w:val="TextBody"/>
        <w:rPr/>
      </w:pPr>
      <w:r>
        <w:rPr/>
        <w:t>Достижение показателей, определенных Указами Президента Российской Федерации, осуществляется в отношении соответствующей категории работников в целом. При этом сохраняется обусловленная различиями в сложности труда дифференциация в оплате труда работников, занимающих различные должности, относящиеся к одной категории.</w:t>
      </w:r>
    </w:p>
    <w:p>
      <w:pPr>
        <w:pStyle w:val="TextBody"/>
        <w:rPr/>
      </w:pPr>
      <w:r>
        <w:rPr/>
        <w:t>Таким образом, заработная плата конкретного работника будет зависит от его квалификации, сложности, количества и качества выполняемой работы и может быть как выше, так и ниже целевого значения, установленного указами для соответствующей категории работников.</w:t>
      </w:r>
    </w:p>
    <w:p>
      <w:pPr>
        <w:pStyle w:val="TextBody"/>
        <w:rPr/>
      </w:pPr>
      <w:r>
        <w:rPr/>
        <w:t>Следует иметь в виду, что совершенствование систем оплаты труда работников государственных (муниципальных) учреждений должно обеспечивать дифференциацию оплаты труда работников, выполняющих работы различной сложности и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показателям.</w:t>
      </w:r>
    </w:p>
    <w:p>
      <w:pPr>
        <w:pStyle w:val="TextBody"/>
        <w:rPr/>
      </w:pPr>
      <w:r>
        <w:rPr/>
        <w:t>Согласно статье 144 Кодекса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>
      <w:pPr>
        <w:pStyle w:val="TextBody"/>
        <w:rPr/>
      </w:pPr>
      <w:r>
        <w:rPr/>
        <w:t>Таким образом, вопросы о порядке и условиях оплаты труда работников государственных (муниципальных) учреждений субъектов Российской Федерации, в том числе вопросы повышения оплаты труда, относятся к компетенции органов государственной власти субъектов Российской Федерации и органов местного самоуправления.</w:t>
      </w:r>
    </w:p>
    <w:p>
      <w:pPr>
        <w:pStyle w:val="TextBody"/>
        <w:rPr/>
      </w:pPr>
      <w:r>
        <w:rPr/>
        <w:t>При этом, оценка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в соответствии с разделом IV Программы по итогам года, учитывая неравномерность динамики заработной платы в течение года.</w:t>
      </w:r>
    </w:p>
    <w:p>
      <w:pPr>
        <w:pStyle w:val="TextBody"/>
        <w:rPr/>
      </w:pPr>
      <w:r>
        <w:rPr/>
        <w:t>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образования,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 за одинаковые периоды.</w:t>
      </w:r>
    </w:p>
    <w:p>
      <w:pPr>
        <w:pStyle w:val="TextBody"/>
        <w:rPr/>
      </w:pPr>
      <w:r>
        <w:rPr/>
        <w:t>Приказом Росстата от 30 октября 2012 г. № 574 «Об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№ 597 «О мероприятиях по реализации государственной социальной политики» утверждены формы статистического наблюдения численности и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от 7 мая 2012 года № 597 «О мероприятиях по реализации государственной социальной политики». Отчет по ним представляется ежеквартально нарастающим итогом.</w:t>
      </w:r>
    </w:p>
    <w:p>
      <w:pPr>
        <w:pStyle w:val="TextBody"/>
        <w:rPr/>
      </w:pPr>
      <w:r>
        <w:rPr/>
        <w:t>Анализ достижения целевых показателей по заработной плате, установленных Указом от 7 мая 2012 года № 597 «О мероприятиях по реализации государственной социальной политики», будет производиться на основе данных статистической отчетности.</w:t>
      </w:r>
    </w:p>
    <w:p>
      <w:pPr>
        <w:pStyle w:val="TextBody"/>
        <w:rPr/>
      </w:pPr>
      <w:r>
        <w:rPr/>
        <w:t>7. Об изменении целевых показателей, установленных Указами Президента Российской Федерации, по младшему медицинскому персоналу и для других категорий работников.</w:t>
      </w:r>
    </w:p>
    <w:p>
      <w:pPr>
        <w:pStyle w:val="TextBody"/>
        <w:rPr/>
      </w:pPr>
      <w:r>
        <w:rPr/>
        <w:t>Указом Президента Российской Федерации от 7 мая 2012 года №597 «О мероприятиях по реализации государственной социальной политики» предусмотрено повышение средней заработной платы по категориям работников. При этом заработная плата конкретного работника в соответствии со статьей 132 Кодекса зависит от его квалификации, сложности выполняемой работы, количества и качества затраченного труда, и может быть как выше, так и ниже целевого значения средней заработной платы, установленного Указом Президента № 597.</w:t>
      </w:r>
    </w:p>
    <w:p>
      <w:pPr>
        <w:pStyle w:val="TextBody"/>
        <w:rPr/>
      </w:pPr>
      <w:r>
        <w:rPr/>
        <w:t>Планом мероприятий («дорожной картой») «Изменения в отраслях социальной сферы, направленные на повышения эффективности здравоохранения», утвержденные распоряжением Правительства Российской Федерации от 28 декабря 2012 г. № 2599-р, а также «дорожными картами» в сфере здравоохранения субъектов Российской Федерации, предусмотрены более высокие соотношения средней заработной платы среднего медицинского (фармацевтического) персонала и средней заработной платы в субъектах Российской Федерации по сравнению с соотношениями средней заработной платы младшего медицинского персонала (персонала, обеспечивающего условия для предоставления медицинских услуг) и средней заработной платы в субъектах Российской Федерации ежегодно до 2017 года.</w:t>
      </w:r>
    </w:p>
    <w:p>
      <w:pPr>
        <w:pStyle w:val="TextBody"/>
        <w:rPr/>
      </w:pPr>
      <w:r>
        <w:rPr/>
        <w:t>К среднему медицинскому (фармацевтическому) персоналу предусматриваются более высокие требования к квалификации, чем к должностям младшего медицинского персонала. Практически по всем должностям среднего медицинского (фармацевтического) персонала необходимо наличие среднего профессионального образования по различным специальностям и сертификата специалиста.</w:t>
      </w:r>
    </w:p>
    <w:p>
      <w:pPr>
        <w:pStyle w:val="TextBody"/>
        <w:rPr/>
      </w:pPr>
      <w:r>
        <w:rPr/>
        <w:t>В то время как по должностям младшего медицинского персонала требуется только наличие среднего (полного) общего образования и дополнительная подготовка по направлению профессиональной деятельности либо наличие среднего (полного) общего образования без дополнительной подготовки.</w:t>
      </w:r>
    </w:p>
    <w:p>
      <w:pPr>
        <w:pStyle w:val="TextBody"/>
        <w:rPr/>
      </w:pPr>
      <w:r>
        <w:rPr/>
        <w:t>Кроме того, трудовые функции по должностям среднего медицинского (фармацевтического) персонала значительно сложнее, чем у младшего медицинского персонала, что отражено в разделе «Должностные обязанности» квалификационных характеристик должностей среднего (фармацевтического) медицинского персонала (приказ Минздравсоцразвития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здравоохранения»).</w:t>
      </w:r>
    </w:p>
    <w:p>
      <w:pPr>
        <w:pStyle w:val="TextBody"/>
        <w:rPr/>
      </w:pPr>
      <w:r>
        <w:rPr/>
        <w:t>Таким образом, совершенствование систем оплаты труда работников государственных (муниципальных) учреждений должно обеспечивать дифференциацию оплаты труда работников, выполняющих работы различной сложности.</w:t>
      </w:r>
    </w:p>
    <w:p>
      <w:pPr>
        <w:pStyle w:val="TextBody"/>
        <w:rPr/>
      </w:pPr>
      <w:r>
        <w:rPr/>
        <w:t>8. О повышении заработной платы педагогическим работникам, оказывающим услуги детям-сиротам и детям, оставшимся без попечения родителей.</w:t>
      </w:r>
    </w:p>
    <w:p>
      <w:pPr>
        <w:pStyle w:val="TextBody"/>
        <w:rPr/>
      </w:pPr>
      <w:r>
        <w:rPr/>
        <w:t>Указом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(далее – Указ № 1688) определено доведение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Федерации.</w:t>
      </w:r>
    </w:p>
    <w:p>
      <w:pPr>
        <w:pStyle w:val="TextBody"/>
        <w:rPr/>
      </w:pPr>
      <w:r>
        <w:rPr/>
        <w:t>При внедрении региональных «дорожных карт», а также в целях недопущения оттока педагогических кадров из системы социальной защиты населения, субъекты Российской Федерации принимают решения о повышении оплаты труда педагогических работников исходя из своих бюджетных возможностей и достигнутого к 2012 году соотношения размера средней заработной платы данных работников и средней заработной платы по субъекту Российской Федерации.</w:t>
      </w:r>
    </w:p>
    <w:p>
      <w:pPr>
        <w:pStyle w:val="TextBody"/>
        <w:rPr/>
      </w:pPr>
      <w:r>
        <w:rPr/>
        <w:t>С целью недопущения оттока педагогических кадров из системы социальной защиты населения многие субъекты не только принимают конкретные меры по повышению оплаты труда педагогических работников, оказывающих социальные услуги непосредственно детям-сиротам и детям, оставшимся без попечения родителей, но и всех педагогических работников, работающих в организациях системы социальной защиты.</w:t>
      </w:r>
    </w:p>
    <w:p>
      <w:pPr>
        <w:pStyle w:val="TextBody"/>
        <w:rPr/>
      </w:pPr>
      <w:r>
        <w:rPr/>
        <w:t>Как правило, указанные педагогические работники оказывают социальные услуги в учреждениях социальной защиты населения детям-сиротам и детям, оставшимся без попечения родителей, наряду с другими детьми, нуждающимися в социальной помощи.</w:t>
      </w:r>
    </w:p>
    <w:p>
      <w:pPr>
        <w:pStyle w:val="TextBody"/>
        <w:rPr/>
      </w:pPr>
      <w:r>
        <w:rPr/>
        <w:t>С учетом этого, Указом № 1688 не установлены требования к числу (доле) детей-сирот и детей, оставшихся без попечения родителей, которым должны оказывать социальные услуги педагогические работники в указанных учреждениях, или к педагогической нагрузке, которую они должны выполнять, предоставляя образовательные услуги указанной категории детей, а также к наличию изолированной группы, где исключительно указанная категория детей могла бы получать социальные услуги.</w:t>
      </w:r>
    </w:p>
    <w:p>
      <w:pPr>
        <w:pStyle w:val="TextBody"/>
        <w:rPr/>
      </w:pPr>
      <w:r>
        <w:rPr/>
        <w:t>Согласно статье 144 Кодекса, системы оплаты труда (в том числе тарифные системы оплаты труда) работников региональных и муниципальных учреждений регулируются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>
      <w:pPr>
        <w:pStyle w:val="TextBody"/>
        <w:rPr/>
      </w:pPr>
      <w:r>
        <w:rPr/>
        <w:t>Таким образом, вопросы о порядке и условиях оплаты труда работников государственных и муниципальных учреждений субъектов Российской Федерации относятся к компетенции органов государственной власти субъектов Российской Федерации и органов местного самоуправления.</w:t>
      </w:r>
    </w:p>
    <w:p>
      <w:pPr>
        <w:pStyle w:val="TextBody"/>
        <w:rPr/>
      </w:pPr>
      <w:r>
        <w:rPr/>
        <w:t>Особое внимание при повышении оплаты труда в соответствии с названным выше Указом № 1688 предлагаем обратить на педагогических работников, оказывающих социальные услуги в детских учреждениях системы социальной защиты населения: домах-интернатах для детей с умственной отсталостью, физическими недостатками; социальных приютах для детей; социально-оздоровительных центрах; центрах помощи детям, оставшимся без попечения родителей; образовательных учреждениях для инвалидов, находящихся в системе социальной защиты населения, в которых дети-сироты и дети, оставшиеся без попечения родителей, получают социальные и социально-педагогические услуги, а также иные учреждения, предоставляющие социальные услуги указанной категории детей.</w:t>
      </w:r>
    </w:p>
    <w:p>
      <w:pPr>
        <w:pStyle w:val="TextBody"/>
        <w:rPr/>
      </w:pPr>
      <w:r>
        <w:rPr/>
        <w:t>9. О системе оплаты труда педагогических работников общеобразовательных учреждений на основе подушевого финансирования.</w:t>
      </w:r>
    </w:p>
    <w:p>
      <w:pPr>
        <w:pStyle w:val="TextBody"/>
        <w:rPr/>
      </w:pPr>
      <w:r>
        <w:rPr/>
        <w:t>Переход на нормативное подушевое финансирование ориентирован на повышение эффективности бюджетного финансирования, повышение качества бюджетной образовательной услуги общего образования в сочетании с мерами недопущения снижения фактически сложившегося финансирования отдельных образовательных учреждений в течение переходного (адаптационного) периода на принципы нормативного подушевого финансирования (за исключением случаев снижения объема оказываемых учреждением образовательных услуг). Данный подход отражен в модельной методике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(письмо Минобрнауки России от 13 сентября 2006 г. № АФ-213/03).</w:t>
      </w:r>
    </w:p>
    <w:p>
      <w:pPr>
        <w:pStyle w:val="TextBody"/>
        <w:rPr/>
      </w:pPr>
      <w:r>
        <w:rPr/>
        <w:t>Одновременно отмечаем, что информация по введению нормативного подушевого финансирования педагогических работников, в том числе общеобразовательных учреждений размещена на официальном сайте Министерства образования и науки российской Федерации.</w:t>
      </w:r>
    </w:p>
    <w:p>
      <w:pPr>
        <w:pStyle w:val="TextBody"/>
        <w:rPr/>
      </w:pPr>
      <w:r>
        <w:rPr/>
        <w:t>10. Об отмене стимулирующих выплат, устанавливаемых без учета показателей эффективности деятельности учреждений и работников.</w:t>
      </w:r>
    </w:p>
    <w:p>
      <w:pPr>
        <w:pStyle w:val="TextBody"/>
        <w:rPr/>
      </w:pPr>
      <w:r>
        <w:rPr/>
        <w:t>Согласно Программе совершенствование основных элементов системы оплаты труда (выплат по окладам (должностным окладам), тарифным ставкам, компенсационных выплат и выплат стимулирующего характера) предусматривается путем реализации ряда мероприятий.</w:t>
      </w:r>
    </w:p>
    <w:p>
      <w:pPr>
        <w:pStyle w:val="TextBody"/>
        <w:rPr/>
      </w:pPr>
      <w:r>
        <w:rPr/>
        <w:t>Совершенствование установления окладов (должностных окладов), тарифных ставок будет осуществляться исходя из более полного учета при оплате труда сложности труда работников.</w:t>
      </w:r>
    </w:p>
    <w:p>
      <w:pPr>
        <w:pStyle w:val="TextBody"/>
        <w:rPr/>
      </w:pPr>
      <w:r>
        <w:rPr/>
        <w:t>Вместе с тем 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(муниципальных) услуг (выполнения работ).</w:t>
      </w:r>
    </w:p>
    <w:p>
      <w:pPr>
        <w:pStyle w:val="TextBody"/>
        <w:rPr/>
      </w:pPr>
      <w:r>
        <w:rPr/>
        <w:t>В рамках реализации указанных мероприятий утверждены Правительством Российской Федерации планы мероприятий («дорожных карт») по развитию отраслей социальной сферы, содержащих целевые показатели (индикаторы) развития отраслей и меры, обеспечивающие их достижение. В «дорожные карты» включены в том числе мероприятия по совершенствованию систем оплаты труда работников в соответствующих сферах,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Федерации, обусловленное достижением конкретных показателей качества и количества оказываемых государственных (муниципальных) услуг (выполнения работ), а также мероприятия по проведению структурных реформ в соответствующих отраслях,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программ.</w:t>
      </w:r>
    </w:p>
    <w:p>
      <w:pPr>
        <w:pStyle w:val="TextBody"/>
        <w:rPr/>
      </w:pPr>
      <w:r>
        <w:rPr/>
        <w:t>Более полный учет в системе оплаты труда сложности труда работников учреждений и исключение стимулирующих выплат, назначаемых без учета показателей качества и количества оказываемых государственных (муниципальных) услуг (выполнения работ), позволит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показателям.</w:t>
      </w:r>
    </w:p>
    <w:p>
      <w:pPr>
        <w:pStyle w:val="TextBody"/>
        <w:rPr/>
      </w:pPr>
      <w:r>
        <w:rPr/>
        <w:t>С учетом указанной работы Правительством Российской Федерации будут установлены базовые оклады (базовые должностные оклады), базовые ставки заработной платы по профессиональным квалификационным группам.</w:t>
      </w:r>
    </w:p>
    <w:p>
      <w:pPr>
        <w:pStyle w:val="TextBody"/>
        <w:rPr/>
      </w:pPr>
      <w:r>
        <w:rPr/>
        <w:t>Согласно п. 19 «Плана мероприятий Программы поэтапного совершенствования системы оплаты труда в государственных (муниципальных) учреждениях на 2012-2018 годы» разработка и внесение в Правительство Российской Федерации предложений по базовым окладам по профессиональным квалификационным группам работников предусмотрена в 2015 году.</w:t>
      </w:r>
    </w:p>
    <w:p>
      <w:pPr>
        <w:pStyle w:val="TextBody"/>
        <w:rPr/>
      </w:pPr>
      <w:r>
        <w:rPr/>
        <w:t>Кроме того, Единым планом первоочередных мероприятий Российской трехсторонней комиссии по регулированию социально-трудовых отношений на II полугодие 2013 года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2011-2013 годы предусмотрено рассмотрение вопроса о формировании информационной базы для подготовки предложений по установлению базовых окладов (базовых должностных окладов), базовых ставок заработной платы по профессиональным квалификационным группам.</w:t>
      </w:r>
    </w:p>
    <w:p>
      <w:pPr>
        <w:pStyle w:val="TextBody"/>
        <w:rPr/>
      </w:pPr>
      <w:r>
        <w:rPr/>
        <w:t>11. О конкретизации в Трудовом кодексе Российской Федерации понятия минимального размера оплаты труда.</w:t>
      </w:r>
    </w:p>
    <w:p>
      <w:pPr>
        <w:pStyle w:val="TextBody"/>
        <w:rPr/>
      </w:pPr>
      <w:r>
        <w:rPr/>
        <w:t>Распоряжением Правительства Российской Федерации от 30 сентября 2013 г. № 1757-р подготовлен проект Федерального закона «О внесении изменения в статью 1 Федерального закона «О минимальном размере оплаты труда» и направлен в Правительство Российской Федерации. Проектом предусматривается увеличение минимального размера оплаты труда с 1 января 2014 года до 5 554 рубля.</w:t>
      </w:r>
    </w:p>
    <w:p>
      <w:pPr>
        <w:pStyle w:val="TextBody"/>
        <w:rPr/>
      </w:pPr>
      <w:r>
        <w:rPr/>
        <w:t>Согласно статье 129 Кодекса 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работы.</w:t>
      </w:r>
    </w:p>
    <w:p>
      <w:pPr>
        <w:pStyle w:val="TextBody"/>
        <w:rPr/>
      </w:pPr>
      <w:r>
        <w:rPr/>
        <w:t>При этом заработная плата работника включает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>
      <w:pPr>
        <w:pStyle w:val="TextBody"/>
        <w:rPr/>
      </w:pPr>
      <w:r>
        <w:rPr/>
        <w:t>Вместе с тем по искам работников о невключении указанных выплат в состав МРОТ выносятся различные решения судов. В связи с этим Минтрудом России в настоящее время проводится работа по подготовке предложений о внесении изменений в действующее законодательство, направленных на урегулирование данного вопроса.</w:t>
      </w:r>
    </w:p>
    <w:p>
      <w:pPr>
        <w:pStyle w:val="TextBody"/>
        <w:rPr/>
      </w:pPr>
      <w:r>
        <w:rPr/>
        <w:t>Постановлением Государственной Думы Федерального Собрания Российской Федерации от 21 ноября 2012 г. № 1225-6 ГД «О проекте федерального закона №143351-6 «О внесении изменения в статью 1 Федерального закона «О минимальном размере оплаты труда» Правительству Российской Федерации рекомендовано образовать до 1 января 2013 года с участием представителей Государственной Думы Федерального Собрания Российской Федерации, Совета Федерации Федерального Собрания Российской Федерации и сторон Российской трехсторонней комиссии по регулированию социально-трудовых отношений рабочую группу для подготовки предложений по поэтапному повышению минимального размера оплаты труда до величины прожиточного минимума трудоспособного населения, а также необходимых для этого изменений в законодательство Российской Федерации.</w:t>
      </w:r>
    </w:p>
    <w:p>
      <w:pPr>
        <w:pStyle w:val="TextBody"/>
        <w:rPr/>
      </w:pPr>
      <w:r>
        <w:rPr/>
        <w:t>В соответствии с приказом Минтруда России от 29 декабря 2012 года</w:t>
        <w:br/>
        <w:t>№ 653 сформирована рабочая группа для подготовки предложений по поэтапному повышению минимального размера оплаты труда до величины прожиточного минимума трудоспособного населения, а также подготовки необходимых для этого изменений в законодательство Российской Федерации с участием представителей Государственной Думы Федерального Собрания Российской Федерации, Совета Федерации Федерального Собрания Российской Федерации, федеральных органов исполнительной власти, общероссийского объединения работодателей, общероссийского объединения профсоюзов, научных организаций.</w:t>
      </w:r>
    </w:p>
    <w:p>
      <w:pPr>
        <w:pStyle w:val="TextBody"/>
        <w:rPr/>
      </w:pPr>
      <w:r>
        <w:rPr/>
        <w:t>Вместе с тем следует отметить, что в соответствии со статьей 133.1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 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социально-трудовых отношений соответствующего субъекта Российской Федерации. Размер минимальной заработной платы в субъекте Российской Федерации может устанавливаться для работников, работающих на территории соответствующего субъекта Российской Федерации, за исключением работников организаций, финансируемых из федерального бюджета.</w:t>
      </w:r>
    </w:p>
    <w:p>
      <w:pPr>
        <w:pStyle w:val="TextBody"/>
        <w:rPr/>
      </w:pPr>
      <w:r>
        <w:rPr/>
        <w:t>Размер минимальной заработной платы в субъекте Российской Федерации: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устанавливается с учетом социально-экономических условий и величины прожиточного минимума трудоспособного населения в соответствующем субъекте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не может быть ниже минимального размера оплаты труда, установленного федеральным законом. </w:t>
      </w:r>
    </w:p>
    <w:p>
      <w:pPr>
        <w:pStyle w:val="TextBody"/>
        <w:rPr/>
      </w:pPr>
      <w:r>
        <w:rPr/>
        <w:t>Принятие решения об установлении размера минимальной заработной платы в субъекте Российской Федерации относится к ведению субъектов Российской Федерации. Соответственно, вопросы, связанные с реализацией данного решения должны быть урегулированы при заключении регионального соглашения о минимальной заработной плате.</w:t>
      </w:r>
    </w:p>
    <w:p>
      <w:pPr>
        <w:pStyle w:val="TextBody"/>
        <w:rPr/>
      </w:pPr>
      <w:r>
        <w:rPr/>
        <w:t>12. О внесении изменений в Кодекс и постановление Правительства Российской Федерации.</w:t>
      </w:r>
    </w:p>
    <w:p>
      <w:pPr>
        <w:pStyle w:val="TextBody"/>
        <w:rPr/>
      </w:pPr>
      <w:r>
        <w:rPr/>
        <w:t>Минтрудом России подготовлен и внесен в Правительство Российской Федерации проект федерального закона «О внесении изменений в Трудовой кодекс Российской Федерации» (в части регулирования размеров возмещения расходов, связанных со служебной командировкой и переездом в другую местность, а также приведения терминологии, применяемой в Трудовом кодексе Российской Федерации, в соответствие с федеральным законом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учреждений») (далее - законопроект).</w:t>
      </w:r>
    </w:p>
    <w:p>
      <w:pPr>
        <w:pStyle w:val="TextBody"/>
        <w:rPr/>
      </w:pPr>
      <w:r>
        <w:rPr/>
        <w:t>Законопроектом предусмотрено внесение поправок в Трудовой кодексе Российской Федерации (далее – ТК РФ) в части вопросов регулирования трудовых отношений работников государственных (муниципальных) учреждений в связи с изменением правового положения и принципов финансового обеспечения деятельности указанных учреждений, в соответствии с положениями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>
      <w:pPr>
        <w:pStyle w:val="TextBody"/>
        <w:rPr/>
      </w:pPr>
      <w:r>
        <w:rPr/>
        <w:t>Учитывая, что действующая редакция ТК РФ предусматривает регулирование трудовых отношений исходя из понятия «организации, финансируемые из бюджетов бюджетной системы Российской Федерации», при приведении норм ТК РФ в соответствие с Федеральным законом от 8 мая 2010 г. № 83-ФЗ, учтены все виды государственных (муниципальных) учреждений (казенные, бюджетные и автономные учреждения).</w:t>
      </w:r>
    </w:p>
    <w:p>
      <w:pPr>
        <w:pStyle w:val="TextBody"/>
        <w:rPr/>
      </w:pPr>
      <w:r>
        <w:rPr/>
        <w:t>Это обуславливается тем, что согласно положениям Федерального закона от 8 мая 2010 г. № 83-ФЗ финансовое обеспечение казенных учреждений осуществляется на основании бюджетной сметы, утверждаемой в установленном порядке, а бюджетных и автономных учреждений - путем предоставления им субсидии из бюджетов бюджетной системы Российской Федерации на выполнение государственного (муниципального) задания, которая рассчитывается из нормативных затрат, включающих в себя, в том числе и все необходимые выплаты, регулируемые ТК РФ.</w:t>
      </w:r>
    </w:p>
    <w:p>
      <w:pPr>
        <w:pStyle w:val="TextBody"/>
        <w:rPr/>
      </w:pPr>
      <w:r>
        <w:rPr/>
        <w:t>Кроме того, в законопроекте терминология, а также положения статей ТК РФ приводятся по сфере действия по кругу лиц в соответствие с Федеральным законом от 27 июля 2004 г. № 79-ФЗ «О государственной гражданской службе», Федеральным законом от 2 марта 2017 г. № 25-ФЗ «О муниципальной службе». Законопроект разграничивает установление гарантий и компенсаций в отношении работников федеральных государственных органов и органов государственной власти субъектов Российской Федерации, как замещающих, так и не замещающих должности, относящиеся соответственно к должностям федеральной государственной службы и государственной гражданской службой субъектов Российской Федерации, и федеральных государственных учреждений, а также работников органов местного самоуправления и муниципальных учреждений.</w:t>
      </w:r>
    </w:p>
    <w:p>
      <w:pPr>
        <w:pStyle w:val="TextBody"/>
        <w:rPr/>
      </w:pPr>
      <w:r>
        <w:rPr/>
        <w:t>Так, пунктом 9 статьи 1 законопроекта вносятся изменения в статью 119 ТК РФ. Право устанавливать порядок и условия предоставления ежегодного дополнительного оплачиваемого отпуска с ненормированным рабочим днем в федеральных государственных учреждениях, в государственных учреждениях субъекта Российской Федерации, в муниципальных учреждениях предоставлено соответственно Правительству Российской Федерации, органам государственной власти субъекта Российской Федерации, органам местного самоуправления.</w:t>
      </w:r>
    </w:p>
    <w:p>
      <w:pPr>
        <w:pStyle w:val="TextBody"/>
        <w:rPr/>
      </w:pPr>
      <w:r>
        <w:rPr/>
        <w:t>После принятия законопроекта предусматривается приведение формулировок, в том числе, постановления Правительства Российской Федерации от 11 декабря 2002 г. № 884 «Об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федерального бюджета» в соответствие с законопроектом.</w:t>
      </w:r>
    </w:p>
    <w:p>
      <w:pPr>
        <w:pStyle w:val="TextBody"/>
        <w:spacing w:before="0" w:after="283"/>
        <w:rPr/>
      </w:pPr>
      <w:r>
        <w:rPr/>
        <w:t>Кроме того, в законопроекте урегулированы вопросы порядка возмещения расходов, связанных с командировками, при переезде работника по предварительной договоренности с работодателем на работу в другую местность в отношении работников учреждений, финансируемых из бюджетов всех уровней.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s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