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№701н от 28 ноября 2013 г.</w:t>
      </w:r>
    </w:p>
    <w:p>
      <w:pPr>
        <w:pStyle w:val="Heading2"/>
        <w:rPr/>
      </w:pPr>
      <w:r>
        <w:rPr/>
        <w:t>«Об утверждении профессионального стандарта «Сварщик» »</w:t>
      </w:r>
    </w:p>
    <w:p>
      <w:pPr>
        <w:pStyle w:val="TextBody"/>
        <w:rPr/>
      </w:pPr>
      <w:r>
        <w:rPr/>
        <w:t>(Приказ направлен на регистрацию в Минюст России)</w:t>
      </w:r>
    </w:p>
    <w:p>
      <w:pPr>
        <w:pStyle w:val="TextBody"/>
        <w:rPr/>
      </w:pPr>
      <w:r>
        <w:rPr/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293), п р и к а з ы в а ю:</w:t>
      </w:r>
    </w:p>
    <w:p>
      <w:pPr>
        <w:pStyle w:val="TextBody"/>
        <w:rPr/>
      </w:pPr>
      <w:r>
        <w:rPr/>
        <w:t xml:space="preserve">Утвердить прилагаемый профессиональный стандарт «Сварщик».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