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№773н от 24 декабря 2013 г.</w:t>
      </w:r>
    </w:p>
    <w:p>
      <w:pPr>
        <w:pStyle w:val="Heading2"/>
        <w:rPr/>
      </w:pPr>
      <w:r>
        <w:rPr/>
        <w:t>«Об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</w:t>
      </w:r>
    </w:p>
    <w:p>
      <w:pPr>
        <w:pStyle w:val="TextBody"/>
        <w:rPr/>
      </w:pPr>
      <w:r>
        <w:rPr/>
        <w:t>В соответствии со статьей 15.1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7039) приказываю:</w:t>
      </w:r>
    </w:p>
    <w:p>
      <w:pPr>
        <w:pStyle w:val="TextBody"/>
        <w:rPr/>
      </w:pPr>
      <w:r>
        <w:rPr/>
        <w:t>Утвердить прилагаемый федеральный государственный стандарт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