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№297 от 15 апреля 2014 г.</w:t>
      </w:r>
    </w:p>
    <w:p>
      <w:pPr>
        <w:pStyle w:val="Heading2"/>
        <w:rPr/>
      </w:pPr>
      <w:r>
        <w:rPr/>
        <w:t>«Об утверждении государственной программы Российской Федерации "Доступная среда" на 2011-2015 годы»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государственную программу Российской Федерации «Доступная среда» на 2011-2015 годы.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разместить государственную программу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постановления;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реализации мероприятий указанной государственной программы Российской Федерации. </w:t>
      </w:r>
    </w:p>
    <w:p>
      <w:pPr>
        <w:pStyle w:val="TextBody"/>
        <w:rPr/>
      </w:pPr>
      <w:r>
        <w:rPr/>
        <w:t xml:space="preserve">3. Признать утратившим силу распоряжение Правительства Российской Федерации от 26 ноября 2012 г. № 2181-р (Собрание законодательства Российской Федерации, 2012, № 49, ст. 6900).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