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№515 от 4 августа 2014 г.</w:t>
      </w:r>
    </w:p>
    <w:p>
      <w:pPr>
        <w:pStyle w:val="Heading2"/>
        <w:rPr/>
      </w:pPr>
      <w:r>
        <w:rPr/>
        <w:t>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</w:t>
      </w:r>
    </w:p>
    <w:p>
      <w:pPr>
        <w:pStyle w:val="TextBody"/>
        <w:rPr/>
      </w:pPr>
      <w:r>
        <w:rPr/>
        <w:t>В соответствии с пунктом 4 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 – 2015 годы, утвержденного распоряжением Правительства Российской Федерации от 15 октября 2012 г. № 1921-р, п р и к а з ы в а ю:</w:t>
      </w:r>
    </w:p>
    <w:p>
      <w:pPr>
        <w:pStyle w:val="TextBody"/>
        <w:rPr/>
      </w:pPr>
      <w:r>
        <w:rPr/>
        <w:t xml:space="preserve">Утвердить методические рекомендации по перечню рекомендуемых видов трудовой и профессиональной деятельности инвалидов с учетом нарушенных функций и ограничений их жизнедеятельности согласно приложению.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