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889 от 18 ноября 2014 г.</w:t>
      </w:r>
    </w:p>
    <w:p>
      <w:pPr>
        <w:pStyle w:val="Heading2"/>
        <w:rPr/>
      </w:pPr>
      <w:r>
        <w:rPr/>
        <w:t>«Об утверждении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сопровождении)»</w:t>
      </w:r>
    </w:p>
    <w:p>
      <w:pPr>
        <w:pStyle w:val="TextBody"/>
        <w:rPr/>
      </w:pPr>
      <w:r>
        <w:rPr/>
        <w:t>В соответствии с подпунктом 5.2.97</w:t>
      </w:r>
      <w:r>
        <w:rPr>
          <w:position w:val="8"/>
          <w:sz w:val="19"/>
        </w:rPr>
        <w:t>11</w:t>
      </w:r>
      <w:r>
        <w:rPr/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2013, № 22, ст. 2809; № 36, ст. 4578; № 37, ст. 4703; № 45, ст. 5822; № 46, ст. 5952; 2014, № 21, ст. 2710; № 26, ст. 3577; № 29, ст. 4160; № 32, ст. 4499; № 36, ст. 4868), приказываю: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прилагаемые рекомендации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января 2015 года.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