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934н от 24 ноября 2014 г.</w:t>
      </w:r>
    </w:p>
    <w:p>
      <w:pPr>
        <w:pStyle w:val="Heading2"/>
        <w:rPr/>
      </w:pPr>
      <w:r>
        <w:rPr/>
        <w:t>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</w:t>
      </w:r>
    </w:p>
    <w:p>
      <w:pPr>
        <w:pStyle w:val="TextBody"/>
        <w:rPr/>
      </w:pPr>
      <w:r>
        <w:rPr/>
        <w:t>В соответствии с подпунктом 5.2.97</w:t>
      </w:r>
      <w:r>
        <w:rPr>
          <w:position w:val="8"/>
          <w:sz w:val="19"/>
        </w:rPr>
        <w:t>1</w:t>
      </w:r>
      <w:r>
        <w:rPr/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4868), п р и к а з ы в а ю:</w:t>
      </w:r>
    </w:p>
    <w:p>
      <w:pPr>
        <w:pStyle w:val="TextBody"/>
        <w:rPr/>
      </w:pPr>
      <w:r>
        <w:rPr/>
        <w:t>1. Утвердить прилагаемые методические рекомендации по расчету потребностей субъектов Российской Федерации в развитии сети организаций социального обслуживания.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