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953н от 28 ноября 2014 г.</w:t>
      </w:r>
    </w:p>
    <w:p>
      <w:pPr>
        <w:pStyle w:val="Heading2"/>
        <w:rPr/>
      </w:pPr>
      <w:r>
        <w:rPr/>
        <w:t>«Об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бюджетного учреждения «Всероссийский научно-методический геронтологический центр»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подпунктом 5.2.97</w:t>
      </w:r>
      <w:r>
        <w:rPr>
          <w:position w:val="8"/>
          <w:sz w:val="19"/>
        </w:rPr>
        <w:t>15</w:t>
      </w:r>
      <w:r>
        <w:rPr/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2710, № 26, ст. 3577; № 29, ст. 4160; № 32, ст. 4499; № 36, ст. 4868), п р и к а з ы в а ю:</w:t>
      </w:r>
    </w:p>
    <w:p>
      <w:pPr>
        <w:pStyle w:val="TextBody"/>
        <w:rPr/>
      </w:pPr>
      <w:r>
        <w:rPr/>
        <w:t>1. Утвердить прилагаемый Порядок предоставления социальных услуг, а также порядок утверждения перечня социальных услуг по видам социальных услуг федеральным государственным бюджетным учреждением «Всероссийский научно-методический геронтологический центр»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