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1285 от 1 декабря 2014 г.</w:t>
      </w:r>
    </w:p>
    <w:p>
      <w:pPr>
        <w:pStyle w:val="Heading2"/>
        <w:rPr/>
      </w:pPr>
      <w:r>
        <w:rPr/>
        <w:t>«О расчете подушевых нормативов финансирования социальных услуг»</w:t>
      </w:r>
    </w:p>
    <w:p>
      <w:pPr>
        <w:pStyle w:val="TextBody"/>
        <w:rPr/>
      </w:pPr>
      <w:r>
        <w:rPr/>
        <w:t>В соответствии с пунктом 2 части 1 статьи 7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br/>
        <w:t>1. Утвердить прилагаемые методические рекомендации по расчету подушевых нормативов финансирования социальных услуг.</w:t>
        <w:br/>
        <w:t>2. Установить,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Федерации, а также для определения размера компенсации, выплачиваемой поставщикам социальных услуг, указанным в части 8 статьи 30 Федерального закона "Об основах социального обслуживания граждан в Российской Федерации".</w:t>
        <w:br/>
        <w:t>2(1). Установить, что подушевые нормативы финансирования социальных услуг могут использоваться органом государственной власти субъекта Российской Федерации, включенного в перечень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2579-р, для определения объема финансового обеспечения государственного (муниципального) социального заказа в случае принятия решения об организации оказания государственных (муниципальных) услуг в социальной сфере в соответствии с частью 3 статьи 28 Федерального закона "О государственном (муниципальном) социальном заказе на оказание государственных (муниципальных) услуг в социальной сфере".</w:t>
        <w:br/>
        <w:t>3.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рекомендаций, утвержденных настоящим постановлением.</w:t>
        <w:br/>
        <w:t>4. Настоящее постановление вступает в силу с 1 января 2015 г.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