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№2/11-3 от 9 февраля 2015 г.</w:t>
      </w:r>
    </w:p>
    <w:p>
      <w:pPr>
        <w:pStyle w:val="Heading2"/>
        <w:rPr/>
      </w:pPr>
      <w:r>
        <w:rPr/>
        <w:t>«Протокол видеоселекторного совещания у заместителя Министра труда и социальной защиты Российской Федерации Л.Ю.Ельцовой»</w:t>
      </w:r>
    </w:p>
    <w:p>
      <w:pPr>
        <w:pStyle w:val="TextBody"/>
        <w:rPr/>
      </w:pPr>
      <w:r>
        <w:rPr>
          <w:u w:val="single"/>
        </w:rPr>
        <w:t>Присутствовали:</w:t>
      </w:r>
      <w:r>
        <w:rPr/>
        <w:t xml:space="preserve"> </w:t>
      </w:r>
    </w:p>
    <w:tbl>
      <w:tblPr>
        <w:tblW w:w="3000" w:type="pct"/>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2412"/>
        <w:gridCol w:w="152"/>
        <w:gridCol w:w="3559"/>
      </w:tblGrid>
      <w:tr>
        <w:trPr/>
        <w:tc>
          <w:tcPr>
            <w:tcW w:w="2412"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помощник Министра здравоохранения Российской Федерации</w:t>
            </w:r>
          </w:p>
        </w:tc>
        <w:tc>
          <w:tcPr>
            <w:tcW w:w="152"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И.Л.Андреева</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начальник отдела Департамента информационной политики Минкультуры России</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Д.А.Безруков</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 xml:space="preserve">главный специалист – эксперт Департамента комплексного анализа и прогнозирования Минтруда России </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И.О.Белов</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советник Департамента информационной политики Минобрнауки России</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А.С.Биджиев</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заместитель директора Департамента науки и образования Минспорта России</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К.В.Вырупаев</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заместитель директора Департамента – начальник отдела Департамента комплексного анализа и прогнозирования Минтруда России</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Г.Н.Григорьянц</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rPr/>
            </w:pPr>
            <w:r>
              <w:rPr/>
              <w:t xml:space="preserve">главный специалист – эксперт Департамента комплексного анализа и прогнозирования </w:t>
            </w:r>
          </w:p>
          <w:p>
            <w:pPr>
              <w:pStyle w:val="TableContents"/>
              <w:spacing w:before="0" w:after="283"/>
              <w:rPr/>
            </w:pPr>
            <w:r>
              <w:rPr/>
              <w:t xml:space="preserve">Минтруда России </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И.Г.Максимова</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начальник Управления надзораи контроля за деятельностью органов исполнительной власти субъектов Российской Федерации Рособрнадзора</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Е.Е.Семченко</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советник Департамента международного сотрудничества и связей с общественностью Минздрава России</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Н.Н.Скороходова</w:t>
            </w:r>
          </w:p>
        </w:tc>
      </w:tr>
      <w:tr>
        <w:trPr/>
        <w:tc>
          <w:tcPr>
            <w:tcW w:w="2412"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 xml:space="preserve">заместитель начальника отдела Департамента стратегии, анализа и прогноза Минобрнауки России </w:t>
            </w:r>
          </w:p>
        </w:tc>
        <w:tc>
          <w:tcPr>
            <w:tcW w:w="15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А.А.Шагалов</w:t>
            </w:r>
          </w:p>
        </w:tc>
      </w:tr>
      <w:tr>
        <w:trPr/>
        <w:tc>
          <w:tcPr>
            <w:tcW w:w="2412"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 xml:space="preserve">83 субъекта Российской Федерации </w:t>
            </w:r>
          </w:p>
        </w:tc>
        <w:tc>
          <w:tcPr>
            <w:tcW w:w="15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w:t>
            </w:r>
          </w:p>
        </w:tc>
        <w:tc>
          <w:tcPr>
            <w:tcW w:w="3559"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заместители руководителей высших исполнительных органов государственной власти субъектов Российской Федерации по социальным вопросам, ответственные за проведение независимой оценки; руководители органов исполнительной власти субъектов Российской Федерации в сфере социальной защиты, образования, культуры, здравоохранения, физической культуры и спорта</w:t>
            </w:r>
          </w:p>
        </w:tc>
      </w:tr>
    </w:tbl>
    <w:p>
      <w:pPr>
        <w:pStyle w:val="TextBody"/>
        <w:rPr/>
      </w:pPr>
      <w:r>
        <w:rPr>
          <w:rStyle w:val="StrongEmphasis"/>
        </w:rPr>
        <w:t>О реализации Федерального закона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и организации в субъектах Российской Федерации работы по проведению независимой оценки качества оказания услуг организациями культуры, социального обслуживания, охраны здоровья, образования, физической культуры и спорта</w:t>
      </w:r>
    </w:p>
    <w:p>
      <w:pPr>
        <w:pStyle w:val="TextBody"/>
        <w:rPr/>
      </w:pPr>
      <w:r>
        <w:rPr/>
        <w:t>1. Принять к сведению информацию Минтруда России о подготовке нормативных правовых актов, необходимых для реализации Федерального закона от 21 июля 2014 г. № 256-ФЗ, и ходе работы по созданию условий для организации проведения независимой оценки в субъектах Российской Федерации.</w:t>
      </w:r>
    </w:p>
    <w:p>
      <w:pPr>
        <w:pStyle w:val="TextBody"/>
        <w:rPr/>
      </w:pPr>
      <w:r>
        <w:rPr/>
        <w:t>2. Принять к сведению информацию представителей органов государственной власти Астраханской, Воронежской, Новосибирской, Пензенской, Сахалинской областей, Чукотского автономного округа о работе по проведению независимой оценки качества оказания услуг организациями социальной сферы и подготовке нормативных актов по данному вопросу.</w:t>
      </w:r>
    </w:p>
    <w:p>
      <w:pPr>
        <w:pStyle w:val="TextBody"/>
        <w:rPr/>
      </w:pPr>
      <w:r>
        <w:rPr/>
        <w:t>3. Органам исполнительной власти субъектов Российской Федерации:</w:t>
      </w:r>
    </w:p>
    <w:p>
      <w:pPr>
        <w:pStyle w:val="TextBody"/>
        <w:numPr>
          <w:ilvl w:val="0"/>
          <w:numId w:val="1"/>
        </w:numPr>
        <w:tabs>
          <w:tab w:val="left" w:pos="0" w:leader="none"/>
        </w:tabs>
        <w:spacing w:before="0" w:after="0"/>
        <w:ind w:left="707" w:hanging="283"/>
        <w:rPr/>
      </w:pPr>
      <w:r>
        <w:rPr/>
        <w:t xml:space="preserve">обеспечить координацию работы по проведению независимой оценки качества оказания услуг организациями в сфере культуры, социального обслуживания, охраны здоровья, образования, физической культуры и спорта (далее – независимая оценка); определить орган исполнительной власти, ответственный за координацию этой работы; </w:t>
      </w:r>
    </w:p>
    <w:p>
      <w:pPr>
        <w:pStyle w:val="TextBody"/>
        <w:numPr>
          <w:ilvl w:val="0"/>
          <w:numId w:val="1"/>
        </w:numPr>
        <w:tabs>
          <w:tab w:val="left" w:pos="0" w:leader="none"/>
        </w:tabs>
        <w:spacing w:before="0" w:after="0"/>
        <w:ind w:left="707" w:hanging="283"/>
        <w:rPr/>
      </w:pPr>
      <w:r>
        <w:rPr/>
        <w:t xml:space="preserve">при проведении независимой оценки учитывать критерии оценки, утвержденные Федеральным законом от 21 июля 2014 г. № 256-ФЗ, и показатели, характеризующие общие критерии, утвержденные ведомственными актами Минтруда России, Минкультуры России, Минздрава России, Минобрнауки России в соответствующей сфере деятельности. При необходимости общественными советами при органах исполнительной власти субъектов Российской Федерации могут быть установлены дополнительные критерии оценки. Обратить внимание, что органы исполнительной власти субъектов Российской Федерации принимают решение о целесообразности проведения независимой оценки органами местного самоуправления; </w:t>
      </w:r>
    </w:p>
    <w:p>
      <w:pPr>
        <w:pStyle w:val="TextBody"/>
        <w:numPr>
          <w:ilvl w:val="0"/>
          <w:numId w:val="1"/>
        </w:numPr>
        <w:tabs>
          <w:tab w:val="left" w:pos="0" w:leader="none"/>
        </w:tabs>
        <w:spacing w:before="0" w:after="0"/>
        <w:ind w:left="707" w:hanging="283"/>
        <w:rPr/>
      </w:pPr>
      <w:r>
        <w:rPr/>
        <w:t xml:space="preserve">обеспечить ведение специального раздела по независимой оценке на официальных сайтах органов исполнительной власти субъектов Российской Федерации в сети «Интернет» и размещение актуальной информации о независимой оценке; </w:t>
      </w:r>
    </w:p>
    <w:p>
      <w:pPr>
        <w:pStyle w:val="TextBody"/>
        <w:numPr>
          <w:ilvl w:val="0"/>
          <w:numId w:val="1"/>
        </w:numPr>
        <w:tabs>
          <w:tab w:val="left" w:pos="0" w:leader="none"/>
        </w:tabs>
        <w:spacing w:before="0" w:after="0"/>
        <w:ind w:left="707" w:hanging="283"/>
        <w:rPr/>
      </w:pPr>
      <w:r>
        <w:rPr/>
        <w:t xml:space="preserve">обеспечивать открытость информации о деятельности организаций социальной сферы на официальном сайте для размещения информации о государственных (муниципальных) учреждениях в сети «Интернет» </w:t>
      </w:r>
      <w:hyperlink r:id="rId2">
        <w:r>
          <w:rPr>
            <w:rStyle w:val="InternetLink"/>
          </w:rPr>
          <w:t>www.bus.gov.ru</w:t>
        </w:r>
      </w:hyperlink>
      <w:r>
        <w:rPr/>
        <w:t xml:space="preserve">; </w:t>
      </w:r>
    </w:p>
    <w:p>
      <w:pPr>
        <w:pStyle w:val="TextBody"/>
        <w:numPr>
          <w:ilvl w:val="0"/>
          <w:numId w:val="1"/>
        </w:numPr>
        <w:tabs>
          <w:tab w:val="left" w:pos="0" w:leader="none"/>
        </w:tabs>
        <w:spacing w:before="0" w:after="0"/>
        <w:ind w:left="707" w:hanging="283"/>
        <w:rPr/>
      </w:pPr>
      <w:r>
        <w:rPr/>
        <w:t xml:space="preserve">обеспечить на своих официальных сайтах в сети «Интернет» техническую возможность выражения мнений получателями услуг о качестве оказания услуг организациями в сфере культуры, социального обслуживания, охраны здоровья, образования, физической культуры и спорта. Срок – I квартал 2015 г.; </w:t>
      </w:r>
    </w:p>
    <w:p>
      <w:pPr>
        <w:pStyle w:val="TextBody"/>
        <w:numPr>
          <w:ilvl w:val="0"/>
          <w:numId w:val="1"/>
        </w:numPr>
        <w:tabs>
          <w:tab w:val="left" w:pos="0" w:leader="none"/>
        </w:tabs>
        <w:spacing w:before="0" w:after="0"/>
        <w:ind w:left="707" w:hanging="283"/>
        <w:rPr/>
      </w:pPr>
      <w:r>
        <w:rPr/>
        <w:t xml:space="preserve">проводить информационно-разъяснительную работу среди населения о проведении независимой оценки и ее целях, а также участии в ней самих граждан-потребителей услуг; </w:t>
      </w:r>
    </w:p>
    <w:p>
      <w:pPr>
        <w:pStyle w:val="TextBody"/>
        <w:numPr>
          <w:ilvl w:val="0"/>
          <w:numId w:val="1"/>
        </w:numPr>
        <w:tabs>
          <w:tab w:val="left" w:pos="0" w:leader="none"/>
        </w:tabs>
        <w:ind w:left="707" w:hanging="283"/>
        <w:rPr/>
      </w:pPr>
      <w:r>
        <w:rPr/>
        <w:t xml:space="preserve">обратить внимание на привлечение к работе по проведению независимой оценки социально ориентированных некоммерческих организаций, в том числе в качестве организации-оператора. </w:t>
      </w:r>
    </w:p>
    <w:p>
      <w:pPr>
        <w:pStyle w:val="Heading5"/>
        <w:spacing w:before="120" w:after="60"/>
        <w:rPr/>
      </w:pPr>
      <w:r>
        <w:rPr/>
        <w:t>Заместитель министра труда</w:t>
        <w:br/>
        <w:t>и социальной защиты</w:t>
        <w:br/>
        <w:t>Российской Федерации</w:t>
        <w:br/>
        <w:t>Л.Ю. Ельцова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