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Информация к видеоселекторному совещанию с субъектами Российской Федерации по независимой оценке 27 апреля 2015 г.</w:t>
      </w:r>
    </w:p>
    <w:p>
      <w:pPr>
        <w:pStyle w:val="Heading2"/>
        <w:rPr/>
      </w:pPr>
      <w:r>
        <w:rPr/>
        <w:t>Информация к видеоселекторному совещанию с субъектами Российской Федерации по независимой оценке 27 апреля 2015 г.</w:t>
      </w:r>
    </w:p>
    <w:p>
      <w:pPr>
        <w:pStyle w:val="TextBody"/>
        <w:rPr/>
      </w:pPr>
      <w:r>
        <w:rPr/>
        <w:t>1. На основе материалов субъектов РФ подготовлен доклад о результатах проведения независимой оценки качества оказания услуг организациями в сфере культуры, социального обслуживания, охраны здоровья и образования (далее – НОК).</w:t>
      </w:r>
    </w:p>
    <w:p>
      <w:pPr>
        <w:pStyle w:val="TextBody"/>
        <w:rPr/>
      </w:pPr>
      <w:r>
        <w:rPr/>
        <w:t>Доклад направлен в Правительство Российской Федерации и размещен на официальном сайте Минтруда России. В ходе анализа материалов субъектов Российской Федерации выявлен ряд недостатков (о них будет сказано ниже).</w:t>
      </w:r>
    </w:p>
    <w:p>
      <w:pPr>
        <w:pStyle w:val="TextBody"/>
        <w:rPr/>
      </w:pPr>
      <w:r>
        <w:rPr/>
        <w:t>Ряд вопросов по НОК обсуждался на предыдущем видеоселекторном совещании с субъектами Российской Федерации и представителями заинтересованных федеральных органов исполнительной власти (9 февраля 2015 г.).</w:t>
      </w:r>
    </w:p>
    <w:p>
      <w:pPr>
        <w:pStyle w:val="TextBody"/>
        <w:rPr/>
      </w:pPr>
      <w:r>
        <w:rPr/>
        <w:t>На совещании 9 февраля 2015 г. отчитывались следующие субъекты Российской Федерации:</w:t>
      </w:r>
    </w:p>
    <w:p>
      <w:pPr>
        <w:pStyle w:val="TextBody"/>
        <w:rPr/>
      </w:pPr>
      <w:r>
        <w:rPr/>
        <w:t>Еврейская автономная область, Новосибирская обл., Воронежская обл., Астраханская обл., Пензенская обл., Сахалинская обл., Чукотский АО</w:t>
      </w:r>
    </w:p>
    <w:p>
      <w:pPr>
        <w:pStyle w:val="TextBody"/>
        <w:rPr/>
      </w:pPr>
      <w:r>
        <w:rPr/>
        <w:t>Протокол совещания направлен в субъекты Российской Федерации и заинтересованные федеральные органы исполнительной власти. Отдельные субъекты Российской Федерации направили в Минтруд России письма с информацией о проведенной работе по реализации принятых на совещании решений: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Адыгея (мин-во труда и социального развития);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Бурятия (Правительство РБ)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Тыва (Правительство РТ)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Ставропольский край (мин-во труда и социальной защиты)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Астраханская обл. (мин-во социального развития и труда);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Вологодская обл. (заместитель губернатора);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Воронежская обл. (Правительство ВО)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Калининградская обл. (Правительство КО)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Кемеровская обл. (Департамент охраны здоровья);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Орловская обл (Департамент здравоохранения)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Саратовская обл. (Министерство занятости, труда и миграции)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Рязанская обл. (Министерство здравоохранения);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Тульская обл.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г. Москва (Заместитель Мэра)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Ханты-Мансийский АО (Заместитель губернатора) </w:t>
      </w:r>
    </w:p>
    <w:p>
      <w:pPr>
        <w:pStyle w:val="TextBody"/>
        <w:rPr/>
      </w:pPr>
      <w:r>
        <w:rPr/>
        <w:t xml:space="preserve">2. Анализ положений об общественных советах показал, что в некоторых регионах общественные советы по проведению НОК не созданы (полномочия по НОК не переданы существующим общественным советам). Так, в направленных в Минтруд России положениях об общественных советах, </w:t>
      </w:r>
      <w:r>
        <w:rPr>
          <w:rStyle w:val="StrongEmphasis"/>
        </w:rPr>
        <w:t>нет позиций по проведению независимой оценки</w:t>
      </w:r>
      <w:r>
        <w:rPr/>
        <w:t>: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Калмыкия (здравоохранение, социальное обслуживание, спорт);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Мордовия (здравоохранение);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Иркутская обл. (культура). </w:t>
      </w:r>
    </w:p>
    <w:p>
      <w:pPr>
        <w:pStyle w:val="TextBody"/>
        <w:rPr/>
      </w:pPr>
      <w:r>
        <w:rPr/>
        <w:t>Примеры положений об общественном совете по проведению независимой оценке//передаче полномочий) по отдельным регионам размещены на официальном сайте Минтруда России (Пермский край, Ленинградская, Омская, Тюменская области).</w:t>
      </w:r>
    </w:p>
    <w:p>
      <w:pPr>
        <w:pStyle w:val="TextBody"/>
        <w:rPr/>
      </w:pPr>
      <w:r>
        <w:rPr/>
        <w:t>3. Минтрудом России проводится анализ сайтов органов исполнительной власти в части размещения информации о независимой оценке. Специальные разделы о независимой оценке качества созданы на официальных сайтах: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i/>
        </w:rPr>
        <w:t>в сфере здравоохранения</w:t>
      </w:r>
      <w:r>
        <w:rPr/>
        <w:t xml:space="preserve"> - в </w:t>
      </w:r>
      <w:r>
        <w:rPr>
          <w:rStyle w:val="StrongEmphasis"/>
        </w:rPr>
        <w:t xml:space="preserve">46 </w:t>
      </w:r>
      <w:r>
        <w:rPr/>
        <w:t xml:space="preserve">субъектах Российской Федерации;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i/>
        </w:rPr>
        <w:t>в</w:t>
      </w:r>
      <w:r>
        <w:rPr/>
        <w:t xml:space="preserve"> </w:t>
      </w:r>
      <w:r>
        <w:rPr>
          <w:i/>
        </w:rPr>
        <w:t xml:space="preserve">сфере социального обслуживания - </w:t>
      </w:r>
      <w:r>
        <w:rPr/>
        <w:t xml:space="preserve">в </w:t>
      </w:r>
      <w:r>
        <w:rPr>
          <w:rStyle w:val="StrongEmphasis"/>
        </w:rPr>
        <w:t xml:space="preserve">63 </w:t>
      </w:r>
      <w:r>
        <w:rPr/>
        <w:t xml:space="preserve">субъектах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i/>
        </w:rPr>
        <w:t>в сфере культуры</w:t>
      </w:r>
      <w:r>
        <w:rPr/>
        <w:t xml:space="preserve"> - в </w:t>
      </w:r>
      <w:r>
        <w:rPr>
          <w:rStyle w:val="StrongEmphasis"/>
        </w:rPr>
        <w:t xml:space="preserve">50 </w:t>
      </w:r>
      <w:r>
        <w:rPr/>
        <w:t xml:space="preserve">субъектах Российской Федерации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>
          <w:i/>
        </w:rPr>
        <w:t xml:space="preserve">в сфере образования </w:t>
      </w:r>
      <w:r>
        <w:rPr/>
        <w:t xml:space="preserve">в </w:t>
      </w:r>
      <w:r>
        <w:rPr>
          <w:rStyle w:val="StrongEmphasis"/>
        </w:rPr>
        <w:t xml:space="preserve">48 </w:t>
      </w:r>
      <w:r>
        <w:rPr/>
        <w:t xml:space="preserve">субъектах Российской Федерации </w:t>
      </w:r>
    </w:p>
    <w:p>
      <w:pPr>
        <w:pStyle w:val="TextBody"/>
        <w:rPr/>
      </w:pPr>
      <w:r>
        <w:rPr/>
        <w:t>В ряде субъектов Российской Федерации информация о независимой оценке размещается в разделах о деятельности общественных советов.</w:t>
      </w:r>
    </w:p>
    <w:p>
      <w:pPr>
        <w:pStyle w:val="TextBody"/>
        <w:rPr/>
      </w:pPr>
      <w:r>
        <w:rPr/>
        <w:t>Информация о независимой оценке качества, как правило, включает: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нормативное правовое обеспечение НОК;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перечень организаций, подлежащих НОК в соответствующем периоде;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информацию об общественном совете и его деятельности (положение об общественном совете, состав общественного совета, сведения о заседаниях общественного совета и проч.);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результаты проведения НОК (мониторинг, рейтинги, опросы). </w:t>
      </w:r>
    </w:p>
    <w:p>
      <w:pPr>
        <w:pStyle w:val="TextBody"/>
        <w:rPr/>
      </w:pPr>
      <w:r>
        <w:rPr/>
        <w:t>В некоторых регионах размещаются предложения или планы по совершенствованию деятельности организаций социальной сферы.</w:t>
      </w:r>
    </w:p>
    <w:p>
      <w:pPr>
        <w:pStyle w:val="TextBody"/>
        <w:rPr/>
      </w:pPr>
      <w:r>
        <w:rPr/>
        <w:t>4. Минтруд России проводит мониторинг «телефонной доступности» организаций социальной сферы. Такой мониторинг проведен по учреждениям социального обслуживания Тульской и Смоленской областей. Итоги этих контрольных мероприятий (мониторинга) размещены на официальном сайте Минтруда России. О выявленных недостатках направлены письма в регионы. Конкретные меры по устранению недостатков приняты в Смоленской области. В письме Тульской области – меры неконкретны.</w:t>
      </w:r>
    </w:p>
    <w:tbl>
      <w:tblPr>
        <w:tblW w:w="10205" w:type="dxa"/>
        <w:jc w:val="left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insideH w:val="single" w:sz="2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</w:tblPr>
      <w:tblGrid>
        <w:gridCol w:w="1525"/>
        <w:gridCol w:w="8680"/>
      </w:tblGrid>
      <w:tr>
        <w:trPr/>
        <w:tc>
          <w:tcPr>
            <w:tcW w:w="152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insideH w:val="single" w:sz="2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Смоленская область</w:t>
            </w:r>
          </w:p>
        </w:tc>
        <w:tc>
          <w:tcPr>
            <w:tcW w:w="868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  <w:insideH w:val="single" w:sz="2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rPr/>
            </w:pPr>
            <w:r>
              <w:rPr/>
              <w:t>1. Проведен мониторинг актуальности номеров учреждений социального обслуживания.</w:t>
            </w:r>
          </w:p>
          <w:p>
            <w:pPr>
              <w:pStyle w:val="TableContents"/>
              <w:rPr/>
            </w:pPr>
            <w:r>
              <w:rPr/>
              <w:t>2. Руководителям учреждений рекомендовано провести со специалистами обучающие семинары по реализации Федерального закона от 21 июля 2015 г. № 256 и постановления Правительства РФ от 14 ноября 2014 г. № 1202 (МТ-координатор и методолог) с последующим тестированием.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3. В мая 2015 г. запланирован семинар по итогам работы учреждений в рамках Федерального закона № 256</w:t>
            </w:r>
          </w:p>
        </w:tc>
      </w:tr>
      <w:tr>
        <w:trPr/>
        <w:tc>
          <w:tcPr>
            <w:tcW w:w="1525" w:type="dxa"/>
            <w:tcBorders>
              <w:left w:val="single" w:sz="6" w:space="0" w:color="808080"/>
              <w:bottom w:val="single" w:sz="6" w:space="0" w:color="808080"/>
              <w:insideH w:val="single" w:sz="6" w:space="0" w:color="808080"/>
            </w:tcBorders>
            <w:shd w:fill="auto" w:val="clear"/>
            <w:tcMar>
              <w:left w:w="20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Тульская область</w:t>
            </w:r>
          </w:p>
        </w:tc>
        <w:tc>
          <w:tcPr>
            <w:tcW w:w="868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  <w:insideH w:val="single" w:sz="6" w:space="0" w:color="808080"/>
              <w:insideV w:val="single" w:sz="6" w:space="0" w:color="808080"/>
            </w:tcBorders>
            <w:shd w:fill="auto" w:val="clear"/>
            <w:tcMar>
              <w:left w:w="27" w:type="dxa"/>
            </w:tcMar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Руководителям с низким рейтингом, в том числе указанным в письме Минтруда России, даны рекомендации по улучшению качества работы, в т.ч. по обеспечению открытости и созданию безбарьерной среды</w:t>
            </w:r>
          </w:p>
        </w:tc>
      </w:tr>
    </w:tbl>
    <w:p>
      <w:pPr>
        <w:pStyle w:val="TextBody"/>
        <w:rPr/>
      </w:pPr>
      <w:r>
        <w:rPr/>
        <w:t>5. Выбор организации-оператора для проведения работы по НОК в 2015 г.</w:t>
      </w:r>
    </w:p>
    <w:p>
      <w:pPr>
        <w:pStyle w:val="TextBody"/>
        <w:rPr/>
      </w:pPr>
      <w:r>
        <w:rPr/>
        <w:t>1) Анализ сайта по госзакупкам показал работу субъектов по выбору оператора на конкурскной основе и заключении государственных контрактов на выполнение работ по сбору, обобщению и анализу информации о качестве услуг.</w:t>
      </w:r>
    </w:p>
    <w:p>
      <w:pPr>
        <w:pStyle w:val="TextBody"/>
        <w:rPr/>
      </w:pPr>
      <w:r>
        <w:rPr/>
        <w:t>За второе полугодие 2014 года - начало 2015 года в субъектах Российской Федерации было проведено 20 закупок на оказание услуг (выполнение работ) по сбору, обобщению и анализу информации о качестве оказания услуг организациями, оказывающими социальные услуги в различных социальных сферах: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город Москва (1 закупка – организации, оказывающие физкультурно-оздоровительные и спортивные услуги);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>
          <w:rStyle w:val="StrongEmphasis"/>
        </w:rPr>
        <w:t>Чеченская Республика (14 закупок</w:t>
      </w:r>
      <w:r>
        <w:rPr/>
        <w:t xml:space="preserve"> – муниципальные дошкольные образовательные учреждения и государственные образовательные учреждения – победитель во всех конкурсах </w:t>
      </w:r>
      <w:r>
        <w:rPr>
          <w:rStyle w:val="StrongEmphasis"/>
        </w:rPr>
        <w:t>одна и та же организация</w:t>
      </w:r>
      <w:r>
        <w:rPr/>
        <w:t xml:space="preserve">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Пермский край (1 закупка – медицинские организации, оказывающие услуги в амбулаторных и стационарных условиях);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Свердловская область (1 закупка – библиотеки, образовательные учреждения, театрально-концертные учреждения, музеи);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Республика Бурятия (1 закупка – медицинские организации);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Ленинградская область (1 закупка – организации социального обслуживания);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Республика Саха (Якутия) (1 закупка – учреждения социального обслуживания). </w:t>
      </w:r>
    </w:p>
    <w:p>
      <w:pPr>
        <w:pStyle w:val="TextBody"/>
        <w:rPr/>
      </w:pPr>
      <w:r>
        <w:rPr/>
        <w:t>В рамках проведения мониторинга закупок Минтрудом России обобщается и анализируется содержание закупаемых работ и услуг, сроки реализации контрактов и договоров.</w:t>
      </w:r>
    </w:p>
    <w:p>
      <w:pPr>
        <w:pStyle w:val="TextBody"/>
        <w:rPr/>
      </w:pPr>
      <w:r>
        <w:rPr/>
        <w:t>2) Анализ материалов субъектов Российской Федерации</w:t>
      </w:r>
    </w:p>
    <w:p>
      <w:pPr>
        <w:pStyle w:val="TextBody"/>
        <w:rPr/>
      </w:pPr>
      <w:r>
        <w:rPr/>
        <w:t>Работа по выбору организации-оператора проведена или еще проводится.</w:t>
      </w:r>
    </w:p>
    <w:p>
      <w:pPr>
        <w:pStyle w:val="TextBody"/>
        <w:rPr/>
      </w:pPr>
      <w:r>
        <w:rPr/>
        <w:t>Недостатки: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качестве оператора указан орган исполнительной власти (Магаданская обл. – министерство труда и социальной политики Магаданской обл.);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 случае выбора в качестве оператора подведомственного учреждения не указано его название (например, Архангельская обл., Костромская обл.);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информация о выборе оператора не представлена (например, Республика Карелия, Удмуртская Республика, Кировская обл.). </w:t>
      </w:r>
    </w:p>
    <w:p>
      <w:pPr>
        <w:pStyle w:val="TextBody"/>
        <w:rPr/>
      </w:pPr>
      <w:r>
        <w:rPr/>
        <w:t>6.Информация о дистанционном обучении на базе Высшей Школы Экономики.</w:t>
      </w:r>
    </w:p>
    <w:p>
      <w:pPr>
        <w:pStyle w:val="TextBody"/>
        <w:rPr/>
      </w:pPr>
      <w:r>
        <w:rPr/>
        <w:t>В целях методической помощи по реализации Федерального закона от 21 июля 2014 г.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 Министерство труда и социальной защиты Российской Федерации сообщает, что Национальным исследовательским университетом «Высшая школа экономики» организовано дистанционное обучение по программе повышения квалификации «Независимая оценка качества оказания услуг организациями социальной сферы в рамках реализации Федерального закона от 21 июля 2014 г. № 256-ФЗ».</w:t>
      </w:r>
    </w:p>
    <w:p>
      <w:pPr>
        <w:pStyle w:val="TextBody"/>
        <w:rPr/>
      </w:pPr>
      <w:r>
        <w:rPr/>
        <w:t>Программой предусмотрено обучение государственных и муниципальных служащих, представителей общественных советов по проведению независимой оценки, общественных организаций и иных участников независимой оценки.</w:t>
      </w:r>
    </w:p>
    <w:p>
      <w:pPr>
        <w:pStyle w:val="TextBody"/>
        <w:rPr/>
      </w:pPr>
      <w:r>
        <w:rPr/>
        <w:t>Информация о проведении обучения размещена в информационно – телекоммуникационной сети «Интернет».</w:t>
      </w:r>
    </w:p>
    <w:p>
      <w:pPr>
        <w:pStyle w:val="TextBody"/>
        <w:spacing w:before="0" w:after="283"/>
        <w:rPr/>
      </w:pPr>
      <w:r>
        <w:rPr/>
        <w:t xml:space="preserve">Контакты: Дарья Сперанская, тел.: 8 (915) 044-28-53;8 (495) 772 95 90, доб. 11726; </w:t>
      </w:r>
      <w:r>
        <w:rPr>
          <w:rStyle w:val="StrongEmphasis"/>
        </w:rPr>
        <w:t xml:space="preserve">e-mail: </w:t>
      </w:r>
      <w:hyperlink r:id="rId2">
        <w:r>
          <w:rPr>
            <w:rStyle w:val="StrongEmphasis"/>
          </w:rPr>
          <w:t>gmu-dpo@hse.ru</w:t>
        </w:r>
      </w:hyperlink>
      <w:r>
        <w:rPr/>
        <w:t>.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gmu-dpo@hse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