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21 августа 2015 г.</w:t>
      </w:r>
    </w:p>
    <w:p>
      <w:pPr>
        <w:pStyle w:val="Heading2"/>
        <w:spacing w:before="200" w:after="120"/>
        <w:rPr/>
      </w:pPr>
      <w:r>
        <w:rPr/>
        <w:t>Успешный опыт работы субъектов Российской Федерации в сфере социальной поддержки граждан пожилого возраста (Новгородская область)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