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3 ноября 2015 г.</w:t>
      </w:r>
    </w:p>
    <w:p>
      <w:pPr>
        <w:pStyle w:val="Heading2"/>
        <w:spacing w:before="200" w:after="120"/>
        <w:rPr/>
      </w:pPr>
      <w:r>
        <w:rPr/>
        <w:t>«О реализации государственной политики в области условий и охраны труда в Российской Федерации в 2014 году»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