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10 ноября 2015 г.</w:t>
      </w:r>
    </w:p>
    <w:p>
      <w:pPr>
        <w:pStyle w:val="Heading2"/>
        <w:rPr/>
      </w:pPr>
      <w:r>
        <w:rPr/>
        <w:t>«Перечень коррупционно-опасных функций Министерства труда и социальной защиты Российской Федерации»</w:t>
      </w:r>
    </w:p>
    <w:p>
      <w:pPr>
        <w:pStyle w:val="TextBody"/>
        <w:rPr/>
      </w:pPr>
      <w:r>
        <w:rPr/>
        <w:t>(Одобрено на заседании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протокол от «23» октября 2015 г. № 5)</w:t>
      </w:r>
    </w:p>
    <w:p>
      <w:pPr>
        <w:pStyle w:val="TextBody"/>
        <w:numPr>
          <w:ilvl w:val="0"/>
          <w:numId w:val="1"/>
        </w:numPr>
        <w:tabs>
          <w:tab w:val="left" w:pos="0" w:leader="none"/>
        </w:tabs>
        <w:spacing w:before="0" w:after="0"/>
        <w:ind w:left="707" w:hanging="283"/>
        <w:rPr/>
      </w:pPr>
      <w:r>
        <w:rPr/>
        <w:t xml:space="preserve">Организация и осуществление закупок товаров, работ, услуг для государственных нужд. </w:t>
      </w:r>
    </w:p>
    <w:p>
      <w:pPr>
        <w:pStyle w:val="TextBody"/>
        <w:numPr>
          <w:ilvl w:val="0"/>
          <w:numId w:val="1"/>
        </w:numPr>
        <w:tabs>
          <w:tab w:val="left" w:pos="0" w:leader="none"/>
        </w:tabs>
        <w:spacing w:before="0" w:after="0"/>
        <w:ind w:left="707" w:hanging="283"/>
        <w:rPr/>
      </w:pPr>
      <w:r>
        <w:rPr/>
        <w:t xml:space="preserve">Осуществление функций государственного заказчика (представителя государственного заказчика) федеральных целевых программ, научно-технических и инновационных программ, проектов, по договорам, контрактам и иным работам в установленной сфере деятельности Минтруда России. </w:t>
      </w:r>
    </w:p>
    <w:p>
      <w:pPr>
        <w:pStyle w:val="TextBody"/>
        <w:numPr>
          <w:ilvl w:val="0"/>
          <w:numId w:val="1"/>
        </w:numPr>
        <w:tabs>
          <w:tab w:val="left" w:pos="0" w:leader="none"/>
        </w:tabs>
        <w:spacing w:before="0" w:after="0"/>
        <w:ind w:left="707" w:hanging="283"/>
        <w:rPr/>
      </w:pPr>
      <w:r>
        <w:rPr/>
        <w:t xml:space="preserve">Разработка и реализация федеральных программ, государственных программ в установленной сфере деятельности Минтруда России и контроль за их исполнением. </w:t>
      </w:r>
    </w:p>
    <w:p>
      <w:pPr>
        <w:pStyle w:val="TextBody"/>
        <w:numPr>
          <w:ilvl w:val="0"/>
          <w:numId w:val="1"/>
        </w:numPr>
        <w:tabs>
          <w:tab w:val="left" w:pos="0" w:leader="none"/>
        </w:tabs>
        <w:spacing w:before="0" w:after="0"/>
        <w:ind w:left="707" w:hanging="283"/>
        <w:rPr/>
      </w:pPr>
      <w:r>
        <w:rPr/>
        <w:t xml:space="preserve">Ведение базы данных федеральных гражданских служащих, состоящих на учете для получения единовременной субсидии на приобретение жилого помещения и снятых с соответствующего учета. </w:t>
      </w:r>
    </w:p>
    <w:p>
      <w:pPr>
        <w:pStyle w:val="TextBody"/>
        <w:numPr>
          <w:ilvl w:val="0"/>
          <w:numId w:val="1"/>
        </w:numPr>
        <w:tabs>
          <w:tab w:val="left" w:pos="0" w:leader="none"/>
        </w:tabs>
        <w:spacing w:before="0" w:after="0"/>
        <w:ind w:left="707" w:hanging="283"/>
        <w:rPr/>
      </w:pPr>
      <w:r>
        <w:rPr/>
        <w:t xml:space="preserve">Выдача справок о предоставлении федеральным государственным гражданским служащим по прежним местам прохождения государственной гражданской службы Российской Федерации единовременной субсидии на приобретение жилого помещения. </w:t>
      </w:r>
    </w:p>
    <w:p>
      <w:pPr>
        <w:pStyle w:val="TextBody"/>
        <w:numPr>
          <w:ilvl w:val="0"/>
          <w:numId w:val="1"/>
        </w:numPr>
        <w:tabs>
          <w:tab w:val="left" w:pos="0" w:leader="none"/>
        </w:tabs>
        <w:spacing w:before="0" w:after="0"/>
        <w:ind w:left="707" w:hanging="283"/>
        <w:rPr/>
      </w:pPr>
      <w:r>
        <w:rPr/>
        <w:t xml:space="preserve">Формирование и ведение федерального реестра социально ориентированных некоммерческих организаций - получателей поддержки, осуществляющих социальную поддержку и защиту граждан. </w:t>
      </w:r>
    </w:p>
    <w:p>
      <w:pPr>
        <w:pStyle w:val="TextBody"/>
        <w:numPr>
          <w:ilvl w:val="0"/>
          <w:numId w:val="1"/>
        </w:numPr>
        <w:tabs>
          <w:tab w:val="left" w:pos="0" w:leader="none"/>
        </w:tabs>
        <w:spacing w:before="0" w:after="0"/>
        <w:ind w:left="707" w:hanging="283"/>
        <w:rPr/>
      </w:pPr>
      <w:r>
        <w:rPr/>
        <w:t xml:space="preserve">Аттестация на право выполнения работ по специальной оценке условий труда, выдача в результате ее проведения сертификата эксперта на право выполнения работ по специальной оценке условий труда и его аннулирование. </w:t>
      </w:r>
    </w:p>
    <w:p>
      <w:pPr>
        <w:pStyle w:val="TextBody"/>
        <w:numPr>
          <w:ilvl w:val="0"/>
          <w:numId w:val="1"/>
        </w:numPr>
        <w:tabs>
          <w:tab w:val="left" w:pos="0" w:leader="none"/>
        </w:tabs>
        <w:spacing w:before="0" w:after="0"/>
        <w:ind w:left="707" w:hanging="283"/>
        <w:rPr/>
      </w:pPr>
      <w:r>
        <w:rPr/>
        <w:t xml:space="preserve">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 </w:t>
      </w:r>
    </w:p>
    <w:p>
      <w:pPr>
        <w:pStyle w:val="TextBody"/>
        <w:numPr>
          <w:ilvl w:val="0"/>
          <w:numId w:val="1"/>
        </w:numPr>
        <w:tabs>
          <w:tab w:val="left" w:pos="0" w:leader="none"/>
        </w:tabs>
        <w:spacing w:before="0" w:after="0"/>
        <w:ind w:left="707" w:hanging="283"/>
        <w:rPr/>
      </w:pPr>
      <w:r>
        <w:rPr/>
        <w:t xml:space="preserve">Допуск организаций к деятельности по проведению специальной оценки условий труда, их регистрация в реестре организаций, проводящих специальную оценку условий труда, приостановление и прекращение деятельности по проведению специальной оценки условий труда. </w:t>
      </w:r>
    </w:p>
    <w:p>
      <w:pPr>
        <w:pStyle w:val="TextBody"/>
        <w:numPr>
          <w:ilvl w:val="0"/>
          <w:numId w:val="1"/>
        </w:numPr>
        <w:tabs>
          <w:tab w:val="left" w:pos="0" w:leader="none"/>
        </w:tabs>
        <w:spacing w:before="0" w:after="0"/>
        <w:ind w:left="707" w:hanging="283"/>
        <w:rPr/>
      </w:pPr>
      <w:r>
        <w:rPr/>
        <w:t xml:space="preserve">Аккредитация организаций, оказывающих услуги в области охраны труда. </w:t>
      </w:r>
    </w:p>
    <w:p>
      <w:pPr>
        <w:pStyle w:val="TextBody"/>
        <w:numPr>
          <w:ilvl w:val="0"/>
          <w:numId w:val="1"/>
        </w:numPr>
        <w:tabs>
          <w:tab w:val="left" w:pos="0" w:leader="none"/>
        </w:tabs>
        <w:spacing w:before="0" w:after="0"/>
        <w:ind w:left="707" w:hanging="283"/>
        <w:rPr/>
      </w:pPr>
      <w:r>
        <w:rPr/>
        <w:t xml:space="preserve">Функции федерального государственного органа по управлению государственной службой, предусмотренные Положением о порядке получения дополнительного профессионального образования государственными гражданскими служащими Российской Федерации, утвержденным Указом Президента Российской Федерации от 28 декабря 2006 г. № 1474. </w:t>
      </w:r>
    </w:p>
    <w:p>
      <w:pPr>
        <w:pStyle w:val="TextBody"/>
        <w:numPr>
          <w:ilvl w:val="0"/>
          <w:numId w:val="1"/>
        </w:numPr>
        <w:tabs>
          <w:tab w:val="left" w:pos="0" w:leader="none"/>
        </w:tabs>
        <w:spacing w:before="0" w:after="0"/>
        <w:ind w:left="707" w:hanging="283"/>
        <w:rPr/>
      </w:pPr>
      <w:r>
        <w:rPr/>
        <w:t xml:space="preserve">Подготовка и принятие решений о распределении (предоставлении) бюджетных ассигнований в виде субсидий, субвенций, межбюджетных трансфертов, ограниченных ресурсов (квот, в том числе квот на выдачу иностранным гражданам приглашений на въезд в Российскую Федерацию в целях осуществления трудовой деятельности и квот на выдачу иностранным гражданам разрешений на работу, и т.п.), а также участие в планировании бюджетных расходов. </w:t>
      </w:r>
    </w:p>
    <w:p>
      <w:pPr>
        <w:pStyle w:val="TextBody"/>
        <w:numPr>
          <w:ilvl w:val="0"/>
          <w:numId w:val="1"/>
        </w:numPr>
        <w:tabs>
          <w:tab w:val="left" w:pos="0" w:leader="none"/>
        </w:tabs>
        <w:spacing w:before="0" w:after="0"/>
        <w:ind w:left="707" w:hanging="283"/>
        <w:rPr/>
      </w:pPr>
      <w:r>
        <w:rPr/>
        <w:t xml:space="preserve">Организационно-техническое обеспечение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 </w:t>
      </w:r>
    </w:p>
    <w:p>
      <w:pPr>
        <w:pStyle w:val="TextBody"/>
        <w:numPr>
          <w:ilvl w:val="0"/>
          <w:numId w:val="1"/>
        </w:numPr>
        <w:tabs>
          <w:tab w:val="left" w:pos="0" w:leader="none"/>
        </w:tabs>
        <w:spacing w:before="0" w:after="0"/>
        <w:ind w:left="707" w:hanging="283"/>
        <w:rPr/>
      </w:pPr>
      <w:r>
        <w:rPr/>
        <w:t xml:space="preserve">Представление в судебных органах прав и законных интересов Минтруда России. </w:t>
      </w:r>
    </w:p>
    <w:p>
      <w:pPr>
        <w:pStyle w:val="TextBody"/>
        <w:numPr>
          <w:ilvl w:val="0"/>
          <w:numId w:val="1"/>
        </w:numPr>
        <w:tabs>
          <w:tab w:val="left" w:pos="0" w:leader="none"/>
        </w:tabs>
        <w:spacing w:before="0" w:after="0"/>
        <w:ind w:left="707" w:hanging="283"/>
        <w:rPr/>
      </w:pPr>
      <w:r>
        <w:rPr/>
        <w:t xml:space="preserve">Осуществление функций и полномочий учредителя находящихся в ведении Минтруда России подведомственных организаций. </w:t>
      </w:r>
    </w:p>
    <w:p>
      <w:pPr>
        <w:pStyle w:val="TextBody"/>
        <w:numPr>
          <w:ilvl w:val="0"/>
          <w:numId w:val="1"/>
        </w:numPr>
        <w:tabs>
          <w:tab w:val="left" w:pos="0" w:leader="none"/>
        </w:tabs>
        <w:spacing w:before="0" w:after="0"/>
        <w:ind w:left="707" w:hanging="283"/>
        <w:rPr/>
      </w:pPr>
      <w:r>
        <w:rPr/>
        <w:t xml:space="preserve">Осуществление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 в том числе имущества, переданного федеральным государственным учреждениям, федеральным государственным унитарным предприятиям, подведомственным Минтруду России. </w:t>
      </w:r>
    </w:p>
    <w:p>
      <w:pPr>
        <w:pStyle w:val="TextBody"/>
        <w:numPr>
          <w:ilvl w:val="0"/>
          <w:numId w:val="1"/>
        </w:numPr>
        <w:tabs>
          <w:tab w:val="left" w:pos="0" w:leader="none"/>
        </w:tabs>
        <w:ind w:left="707" w:hanging="283"/>
        <w:rPr/>
      </w:pPr>
      <w:r>
        <w:rPr/>
        <w:t xml:space="preserve">Хранение и распределение материально-технических ресурсов. </w:t>
      </w:r>
    </w:p>
    <w:p>
      <w:pPr>
        <w:pStyle w:val="Heading5"/>
        <w:rPr/>
      </w:pPr>
      <w:r>
        <w:rPr/>
        <w:t>Председатель Комиссии</w:t>
      </w:r>
    </w:p>
    <w:p>
      <w:pPr>
        <w:pStyle w:val="Heading5"/>
        <w:spacing w:before="120" w:after="60"/>
        <w:rPr/>
      </w:pPr>
      <w:r>
        <w:rPr/>
        <w:t>А.А. Черкасов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