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№901 от 30 ноября 2015 г.</w:t>
      </w:r>
    </w:p>
    <w:p>
      <w:pPr>
        <w:pStyle w:val="Heading2"/>
        <w:rPr/>
      </w:pPr>
      <w:r>
        <w:rPr/>
        <w:t>«О конкурсной комиссии по определению лучших кадровых практик на государственной гражданской и муниципальной службе»</w:t>
      </w:r>
    </w:p>
    <w:p>
      <w:pPr>
        <w:pStyle w:val="TextBody"/>
        <w:rPr/>
      </w:pPr>
      <w:r>
        <w:rPr/>
        <w:t>В целях выявления лучших кадровых практик, применяемых федеральными государственными органами, государственными органами субъектов Российской Федерации и органами местного самоуправления, а также определения победителей конкурса «Лучшие кадровые практики на государственной гражданской и муниципальной службе»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конкурсную комиссию по определению лучших кадровых практик на государственной гражданской и муниципальной службе (далее – конкурсная комиссия).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состав конкурсной комиссии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государственной политики в сфере государственной и муниципальной службы, противодействия коррупции (Д.В. Баснак) осуществлять организационно-техническое обеспечение деятельности конкурсной комиссии.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