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№18-0/10/В-8969 от 2 декабря 2015 г.</w:t>
      </w:r>
    </w:p>
    <w:p>
      <w:pPr>
        <w:pStyle w:val="Heading2"/>
        <w:rPr/>
      </w:pPr>
      <w:r>
        <w:rPr/>
        <w:t>Письмо Минтруда России №18-0/10/В-8969 от 2 декабря 2015 г.</w:t>
      </w:r>
    </w:p>
    <w:p>
      <w:pPr>
        <w:pStyle w:val="Heading5"/>
        <w:rPr/>
      </w:pPr>
      <w:r>
        <w:rPr/>
        <w:t>Высшие органы</w:t>
      </w:r>
    </w:p>
    <w:p>
      <w:pPr>
        <w:pStyle w:val="Heading5"/>
        <w:rPr/>
      </w:pPr>
      <w:r>
        <w:rPr/>
        <w:t>исполнительной власти субъектов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rPr/>
      </w:pPr>
      <w:r>
        <w:rPr/>
        <w:t>Федеральные</w:t>
      </w:r>
    </w:p>
    <w:p>
      <w:pPr>
        <w:pStyle w:val="Heading5"/>
        <w:rPr/>
      </w:pPr>
      <w:r>
        <w:rPr/>
        <w:t>государственные органы</w:t>
      </w:r>
    </w:p>
    <w:p>
      <w:pPr>
        <w:pStyle w:val="Heading5"/>
        <w:rPr/>
      </w:pPr>
      <w:r>
        <w:rPr/>
        <w:t>Государственные</w:t>
      </w:r>
    </w:p>
    <w:p>
      <w:pPr>
        <w:pStyle w:val="Heading5"/>
        <w:rPr/>
      </w:pPr>
      <w:r>
        <w:rPr/>
        <w:t>внебюджетные фонды</w:t>
      </w:r>
    </w:p>
    <w:p>
      <w:pPr>
        <w:pStyle w:val="Heading5"/>
        <w:rPr/>
      </w:pPr>
      <w:r>
        <w:rPr/>
        <w:t xml:space="preserve">Государственные корпорации (компании) 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>
      <w:pPr>
        <w:pStyle w:val="TextBody"/>
        <w:rPr/>
      </w:pPr>
      <w:r>
        <w:rPr/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</w:p>
    <w:p>
      <w:pPr>
        <w:pStyle w:val="TextBody"/>
        <w:rPr/>
      </w:pPr>
      <w:r>
        <w:rPr/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указанные лица могут только выкупив их.</w:t>
      </w:r>
    </w:p>
    <w:p>
      <w:pPr>
        <w:pStyle w:val="TextBody"/>
        <w:rPr/>
      </w:pPr>
      <w:r>
        <w:rPr/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>
      <w:pPr>
        <w:pStyle w:val="TextBody"/>
        <w:rPr/>
      </w:pPr>
      <w:r>
        <w:rPr/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>
      <w:pPr>
        <w:pStyle w:val="TextBody"/>
        <w:rPr/>
      </w:pPr>
      <w:r>
        <w:rPr/>
        <w:t>В целях обеспечения соблюдения антикоррупционного законодательства и сокращения необоснованных расходов просим: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довести соответствующую информацию до сведения служащих государственного органа, а также руководителей и работников подведомственных организаций;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повысить бдительность, провести активную разъяснительную работу и усилить контроль за соблюдением установленного запрета. 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