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№1024н от 17 декабря 2015 г. (утратил силу с 01.01.2020)</w:t>
      </w:r>
    </w:p>
    <w:p>
      <w:pPr>
        <w:pStyle w:val="Heading2"/>
        <w:rPr/>
      </w:pPr>
      <w:r>
        <w:rPr/>
        <w:t>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</w:p>
    <w:p>
      <w:pPr>
        <w:pStyle w:val="TextBody"/>
        <w:rPr/>
      </w:pPr>
      <w:r>
        <w:rPr/>
        <w:t>В соответствии с подпунктом 5.2.105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 р и к а з ы в а ю:</w:t>
      </w:r>
    </w:p>
    <w:p>
      <w:pPr>
        <w:pStyle w:val="TextBody"/>
        <w:rPr/>
      </w:pPr>
      <w:r>
        <w:rPr/>
        <w:t>1. Утвердить прилагаемые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>
      <w:pPr>
        <w:pStyle w:val="TextBody"/>
        <w:rPr/>
      </w:pPr>
      <w:r>
        <w:rPr/>
        <w:t>2. Признать утратившим силу приказ Министерства труда и социальной защиты Российской Федерации от 29 сентября 2014 г. № 664н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 (зарегистрирован Министерством юстиции Российской Федерации 20 ноября 2014 г., регистрационный № 34792).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