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219 от 5 мая 2016 г.</w:t>
      </w:r>
    </w:p>
    <w:p>
      <w:pPr>
        <w:pStyle w:val="Heading2"/>
        <w:rPr/>
      </w:pPr>
      <w:r>
        <w:rPr/>
        <w:t>«Об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местности»</w:t>
      </w:r>
    </w:p>
    <w:p>
      <w:pPr>
        <w:pStyle w:val="TextBody"/>
        <w:rPr/>
      </w:pPr>
      <w:r>
        <w:rPr/>
        <w:t>В соответствии с пунктами 2 и 3 части 2 статьи 7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4257), а также в целях координации деятельности и методического обеспечения оптимального размещения организаций социального обслуживания в субъектах Российской Федерации</w:t>
      </w:r>
      <w:r>
        <w:rPr>
          <w:rStyle w:val="StrongEmphasis"/>
        </w:rPr>
        <w:t xml:space="preserve"> </w:t>
      </w:r>
      <w:r>
        <w:rPr/>
        <w:t>приказываю:</w:t>
      </w:r>
    </w:p>
    <w:p>
      <w:pPr>
        <w:pStyle w:val="TextBody"/>
        <w:rPr/>
      </w:pPr>
      <w:r>
        <w:rPr/>
        <w:t>Утвердить 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