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 33 от 28 июня 2016 г.</w:t>
      </w:r>
    </w:p>
    <w:p>
      <w:pPr>
        <w:pStyle w:val="Heading2"/>
        <w:rPr/>
      </w:pPr>
      <w:r>
        <w:rPr/>
        <w:t>«Протокол заседания Общественного совета при Министерстве труда и социальной защиты Российской Федерации»</w:t>
      </w:r>
    </w:p>
    <w:p>
      <w:pPr>
        <w:pStyle w:val="TextBody"/>
        <w:rPr>
          <w:u w:val="single"/>
        </w:rPr>
      </w:pPr>
      <w:r>
        <w:rPr>
          <w:u w:val="single"/>
        </w:rPr>
        <w:t>Присутствовали:</w:t>
      </w:r>
    </w:p>
    <w:tbl>
      <w:tblPr>
        <w:tblW w:w="10205" w:type="dxa"/>
        <w:jc w:val="left"/>
        <w:tblInd w:w="0" w:type="dxa"/>
        <w:tblBorders/>
        <w:tblCellMar>
          <w:top w:w="0" w:type="dxa"/>
          <w:left w:w="0" w:type="dxa"/>
          <w:bottom w:w="0" w:type="dxa"/>
          <w:right w:w="0" w:type="dxa"/>
        </w:tblCellMar>
      </w:tblPr>
      <w:tblGrid>
        <w:gridCol w:w="4341"/>
        <w:gridCol w:w="95"/>
        <w:gridCol w:w="5769"/>
      </w:tblGrid>
      <w:tr>
        <w:trPr/>
        <w:tc>
          <w:tcPr>
            <w:tcW w:w="4341" w:type="dxa"/>
            <w:tcBorders/>
            <w:shd w:fill="auto" w:val="clear"/>
          </w:tcPr>
          <w:p>
            <w:pPr>
              <w:pStyle w:val="TableContents"/>
              <w:spacing w:before="0" w:after="283"/>
              <w:rPr/>
            </w:pPr>
            <w:r>
              <w:rPr/>
              <w:t>Статс-секретарь–заместитель Министра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А.Н. Пудов</w:t>
            </w:r>
          </w:p>
        </w:tc>
      </w:tr>
      <w:tr>
        <w:trPr/>
        <w:tc>
          <w:tcPr>
            <w:tcW w:w="4341" w:type="dxa"/>
            <w:tcBorders/>
            <w:shd w:fill="auto" w:val="clear"/>
          </w:tcPr>
          <w:p>
            <w:pPr>
              <w:pStyle w:val="TableContents"/>
              <w:spacing w:before="0" w:after="283"/>
              <w:rPr/>
            </w:pPr>
            <w:r>
              <w:rPr/>
              <w:t>Члены Общественного совета при Министерстве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А.В. Анохин, Е.С. Герасимова, М.В. Довгялло, В.В. Елизаров, С.П. Железнов, Л.Г. Зелькова, Н.Н. Кузьмина, Е.А. Куликов, И.А. Мещеряков, М.А. Морозова, Н.Н. Новиков, Л.Н. Овчарова, С.И. Рыбальченко, М.Б. Соколова, М.А. Урманчеева, Е.Н. Феоктистова</w:t>
            </w:r>
          </w:p>
        </w:tc>
      </w:tr>
      <w:tr>
        <w:trPr/>
        <w:tc>
          <w:tcPr>
            <w:tcW w:w="4341" w:type="dxa"/>
            <w:tcBorders/>
            <w:shd w:fill="auto" w:val="clear"/>
          </w:tcPr>
          <w:p>
            <w:pPr>
              <w:pStyle w:val="TableContents"/>
              <w:spacing w:before="0" w:after="283"/>
              <w:rPr/>
            </w:pPr>
            <w:r>
              <w:rPr/>
              <w:t>Представители Министерства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К.П. Афонина, Ф.И. Воронин, А.В. Гусенкова, И.М. Игнатьев, А.С. Лагутенко, И.Г. Одноворова, М.В. Ушакова</w:t>
            </w:r>
          </w:p>
        </w:tc>
      </w:tr>
      <w:tr>
        <w:trPr/>
        <w:tc>
          <w:tcPr>
            <w:tcW w:w="4341" w:type="dxa"/>
            <w:tcBorders/>
            <w:shd w:fill="auto" w:val="clear"/>
          </w:tcPr>
          <w:p>
            <w:pPr>
              <w:pStyle w:val="TableContents"/>
              <w:spacing w:before="0" w:after="283"/>
              <w:rPr/>
            </w:pPr>
            <w:r>
              <w:rPr/>
              <w:t>Директор Департамента социального развития Ханты-Мансийского автономного округа</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М.Г. Краско</w:t>
            </w:r>
          </w:p>
        </w:tc>
      </w:tr>
      <w:tr>
        <w:trPr/>
        <w:tc>
          <w:tcPr>
            <w:tcW w:w="4341" w:type="dxa"/>
            <w:tcBorders/>
            <w:shd w:fill="auto" w:val="clear"/>
          </w:tcPr>
          <w:p>
            <w:pPr>
              <w:pStyle w:val="TableContents"/>
              <w:spacing w:before="0" w:after="283"/>
              <w:rPr/>
            </w:pPr>
            <w:r>
              <w:rPr/>
              <w:t>Заместитель руководителя Департамента труда и социальной защиты населения города Москвы</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П.А. Келлер</w:t>
            </w:r>
          </w:p>
        </w:tc>
      </w:tr>
      <w:tr>
        <w:trPr/>
        <w:tc>
          <w:tcPr>
            <w:tcW w:w="4341" w:type="dxa"/>
            <w:tcBorders/>
            <w:shd w:fill="auto" w:val="clear"/>
          </w:tcPr>
          <w:p>
            <w:pPr>
              <w:pStyle w:val="TableContents"/>
              <w:spacing w:before="0" w:after="283"/>
              <w:rPr/>
            </w:pPr>
            <w:r>
              <w:rPr/>
              <w:t>Заместитель директора Департамента социального развития Тюменской области</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Т.В. Родяшина</w:t>
            </w:r>
          </w:p>
        </w:tc>
      </w:tr>
      <w:tr>
        <w:trPr/>
        <w:tc>
          <w:tcPr>
            <w:tcW w:w="4341" w:type="dxa"/>
            <w:tcBorders/>
            <w:shd w:fill="auto" w:val="clear"/>
          </w:tcPr>
          <w:p>
            <w:pPr>
              <w:pStyle w:val="TableContents"/>
              <w:spacing w:before="0" w:after="283"/>
              <w:rPr/>
            </w:pPr>
            <w:r>
              <w:rPr/>
              <w:t>Представитель Фонда социального страхования Российской Федерации</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Т.В. Лотоцкая</w:t>
            </w:r>
          </w:p>
        </w:tc>
      </w:tr>
      <w:tr>
        <w:trPr/>
        <w:tc>
          <w:tcPr>
            <w:tcW w:w="4341" w:type="dxa"/>
            <w:tcBorders/>
            <w:shd w:fill="auto" w:val="clear"/>
          </w:tcPr>
          <w:p>
            <w:pPr>
              <w:pStyle w:val="TableContents"/>
              <w:spacing w:before="0" w:after="283"/>
              <w:rPr/>
            </w:pPr>
            <w:r>
              <w:rPr/>
              <w:t>Представитель Общероссийской общественной организации «Центр по оказанию помощи инвалидам с нарушениями опорно-двигательной системы»</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Е.Д. Абрамова</w:t>
            </w:r>
          </w:p>
        </w:tc>
      </w:tr>
      <w:tr>
        <w:trPr/>
        <w:tc>
          <w:tcPr>
            <w:tcW w:w="4341" w:type="dxa"/>
            <w:tcBorders/>
            <w:shd w:fill="auto" w:val="clear"/>
          </w:tcPr>
          <w:p>
            <w:pPr>
              <w:pStyle w:val="TableContents"/>
              <w:spacing w:before="0" w:after="283"/>
              <w:rPr/>
            </w:pPr>
            <w:r>
              <w:rPr/>
              <w:t>Представитель Института государственной службы и управления РАНХиГС</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О.В. Коротеева</w:t>
            </w:r>
          </w:p>
        </w:tc>
      </w:tr>
      <w:tr>
        <w:trPr/>
        <w:tc>
          <w:tcPr>
            <w:tcW w:w="4341" w:type="dxa"/>
            <w:tcBorders/>
            <w:shd w:fill="auto" w:val="clear"/>
          </w:tcPr>
          <w:p>
            <w:pPr>
              <w:pStyle w:val="TableContents"/>
              <w:spacing w:before="0" w:after="283"/>
              <w:rPr/>
            </w:pPr>
            <w:r>
              <w:rPr/>
              <w:t>Представитель Общероссийского профсоюза работников нефтяной, газовой отраслей промышленности и строительства</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О.А. Кулешова</w:t>
            </w:r>
          </w:p>
        </w:tc>
      </w:tr>
      <w:tr>
        <w:trPr/>
        <w:tc>
          <w:tcPr>
            <w:tcW w:w="4341" w:type="dxa"/>
            <w:tcBorders/>
            <w:shd w:fill="auto" w:val="clear"/>
          </w:tcPr>
          <w:p>
            <w:pPr>
              <w:pStyle w:val="TableContents"/>
              <w:spacing w:before="0" w:after="283"/>
              <w:rPr/>
            </w:pPr>
            <w:r>
              <w:rPr/>
              <w:t>Представители средств массовой информации</w:t>
            </w:r>
          </w:p>
        </w:tc>
        <w:tc>
          <w:tcPr>
            <w:tcW w:w="95" w:type="dxa"/>
            <w:tcBorders/>
            <w:shd w:fill="auto" w:val="clear"/>
          </w:tcPr>
          <w:p>
            <w:pPr>
              <w:pStyle w:val="TableContents"/>
              <w:spacing w:before="0" w:after="283"/>
              <w:jc w:val="center"/>
              <w:rPr/>
            </w:pPr>
            <w:r>
              <w:rPr/>
              <w:t>-</w:t>
            </w:r>
          </w:p>
        </w:tc>
        <w:tc>
          <w:tcPr>
            <w:tcW w:w="5769" w:type="dxa"/>
            <w:tcBorders/>
            <w:shd w:fill="auto" w:val="clear"/>
          </w:tcPr>
          <w:p>
            <w:pPr>
              <w:pStyle w:val="TableContents"/>
              <w:spacing w:before="0" w:after="283"/>
              <w:rPr/>
            </w:pPr>
            <w:r>
              <w:rPr/>
              <w:t>представители информационных агентств, печатных изданий (всего - 7 человек)</w:t>
            </w:r>
          </w:p>
        </w:tc>
      </w:tr>
    </w:tbl>
    <w:p>
      <w:pPr>
        <w:pStyle w:val="TextBody"/>
        <w:rPr/>
      </w:pPr>
      <w:r>
        <w:rPr>
          <w:rStyle w:val="StrongEmphasis"/>
        </w:rPr>
        <w:t>I. О переходе на новый стандарт деятельности общественных советов при федеральных органах исполнительной власти</w:t>
      </w:r>
    </w:p>
    <w:p>
      <w:pPr>
        <w:pStyle w:val="TextBody"/>
        <w:rPr/>
      </w:pPr>
      <w:r>
        <w:rPr/>
        <w:t>1. Принять к сведению информацию Секретаря Совета – Советника Министра труда и социальной защиты Российской Федерации Ф.И. Воронина, а также Председателя Совета Е.А. Тополевой-Солдуновой в отношении особенностей, процедур и сроков перехода Совета на новый Стандарт деятельности общественных советов при федеральных органах исполнительной власти (Типовое положение), одобренный протоколом заочного заседания Правительственной комиссии по координации деятельности открытого правительства от 24 июня 2015 г. № 3</w:t>
      </w:r>
    </w:p>
    <w:p>
      <w:pPr>
        <w:pStyle w:val="TextBody"/>
        <w:rPr/>
      </w:pPr>
      <w:r>
        <w:rPr/>
        <w:t>2. Отметить важность работы членов Совета как на заседаниях Совета, так и в процессе его текущей работы. Обратиться к членам Совета с просьбой проявлять активность и участвовать в формировании повестки заседания Совета (способствовать рассмотрению тех вопросов, которые волнуют общественность и являются актуальными в конкретный момент времени).</w:t>
      </w:r>
    </w:p>
    <w:p>
      <w:pPr>
        <w:pStyle w:val="TextBody"/>
        <w:rPr/>
      </w:pPr>
      <w:r>
        <w:rPr/>
        <w:t>3. Принять к сведению информацию Председателя Совета Е.А. Тополевой-Солдуновой о находящихся на финальной стадии подготовки «Методических рекомендациях по взаимодействию федеральных органов исполнительной власти с референтными группами» (далее – Методические рекомендации), разработанных в дополнение к Концепции открытости федеральных органов исполнительной власти (далее – ФОИВ), утвержденной распоряжением Правительства Российской Федерации от 30 января 2014 г. № 93-р.</w:t>
      </w:r>
    </w:p>
    <w:p>
      <w:pPr>
        <w:pStyle w:val="TextBody"/>
        <w:rPr/>
      </w:pPr>
      <w:r>
        <w:rPr/>
        <w:t>4. Обратить внимание, что (в соответствии с вышеуказанными Методическими рекомендациями) общественным советам при ФОИВ отводится важная роль и значительный функционал: общественный совет принимает участие в процедуре определения референтных групп соответствующего ФОИВ; является одним из основных каналов ФОИВ по взаимодействию с референтными группами; играет важную роль в реализации порядка и оценке результатов взаимодействия ФОИВ с референтными группами.</w:t>
      </w:r>
    </w:p>
    <w:p>
      <w:pPr>
        <w:pStyle w:val="TextBody"/>
        <w:jc w:val="center"/>
        <w:rPr/>
      </w:pPr>
      <w:r>
        <w:rPr>
          <w:rStyle w:val="StrongEmphasis"/>
        </w:rPr>
        <w:t>II. О проекте федерального закона «Об ожидаемом периоде выплаты накопительной пенсии на 2017 год»</w:t>
      </w:r>
    </w:p>
    <w:p>
      <w:pPr>
        <w:pStyle w:val="TextBody"/>
        <w:rPr/>
      </w:pPr>
      <w:r>
        <w:rPr/>
        <w:t>1. Принять к сведению доклад Директора Департамента пенсионного обеспечения Минтруда России И.М. Игнатьева о разработанном проекте федерального закона «Об ожидаемом периоде выплаты накопительной пенсии на 2017 год», подготовленного в целях обеспечения реализации статьи 17 Федерального закона от 28.12.2013 № 424-ФЗ «О накопительной пенсии».</w:t>
      </w:r>
    </w:p>
    <w:p>
      <w:pPr>
        <w:pStyle w:val="TextBody"/>
        <w:rPr/>
      </w:pPr>
      <w:r>
        <w:rPr/>
        <w:t>2. Принимая во внимание тот факт, что фактический возраст дожития у мужчин составляет менее 190 месяцев, у женщин более 300 месяцев, а расчетный показатель в соответствии с методикой оценки ожидаемого периода выплаты накопительной пенсии, утвержденной постановлением Правительства Российской Федерации от 2 июня 2015 г. № 531, составляет 261 месяц, признать целесообразным установление рассматриваемым законопроектом ожидаемого периода выплаты накопительной пенсии на 2017 год 240 месяцев.</w:t>
      </w:r>
    </w:p>
    <w:p>
      <w:pPr>
        <w:pStyle w:val="TextBody"/>
        <w:rPr/>
      </w:pPr>
      <w:r>
        <w:rPr/>
        <w:t>3. С учетом вышеизложенного поддержать данный законопроект.</w:t>
      </w:r>
    </w:p>
    <w:p>
      <w:pPr>
        <w:pStyle w:val="TextBody"/>
        <w:jc w:val="center"/>
        <w:rPr/>
      </w:pPr>
      <w:r>
        <w:rPr>
          <w:rStyle w:val="StrongEmphasis"/>
        </w:rPr>
        <w:t>III. О (1) результатах независимой оценки качества оказания услуг организациями социального обслуживания в 2015 году и о ходе этой работы в 2016 году, а также о (2) лучших практиках организации работы домов-интернатов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w:t>
      </w:r>
    </w:p>
    <w:p>
      <w:pPr>
        <w:pStyle w:val="TextBody"/>
        <w:rPr/>
      </w:pPr>
      <w:r>
        <w:rPr/>
        <w:t>1. Принять к сведению информацию Министерства об итогах функционирования системы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2015 году.</w:t>
      </w:r>
    </w:p>
    <w:p>
      <w:pPr>
        <w:pStyle w:val="TextBody"/>
        <w:rPr/>
      </w:pPr>
      <w:r>
        <w:rPr/>
        <w:t>2. Отметить, что Минтрудом России проделана существенная работа по организации и проведению мониторинга создания условий в субъектах Российской Федерации для проведения независимой оценки и формированию итогов проведения в регионах независимой оценки качества оказания услуг организациями в сфере культуры, социального обслуживания, охраны здоровья и образования.</w:t>
      </w:r>
    </w:p>
    <w:p>
      <w:pPr>
        <w:pStyle w:val="TextBody"/>
        <w:rPr/>
      </w:pPr>
      <w:r>
        <w:rPr/>
        <w:t>3. Принять к сведению доклады Директора Департамента социального развития Ханты-Мансийского автономного округа М.Г. Краско, Заместителя директора Департамента социального развития Тюменской области Т.В. Родяшиной, а также Заместителя руководителя Департамента труда и социальной защиты населения города Москвы П.А. Келлера в отношении организации работы и результатов проведения независимой оценки качества оказания услуг организациями в сфере социального обслуживания в соответствующих субъектах Российской Федерации в 2015 году, а также о планах по развитию оценки качества оказания услуг организациями в сфере социального обслуживания в текущем 2016 году.</w:t>
      </w:r>
    </w:p>
    <w:p>
      <w:pPr>
        <w:pStyle w:val="TextBody"/>
        <w:rPr/>
      </w:pPr>
      <w:r>
        <w:rPr/>
        <w:t>4. Принять к сведению доклады Директора Департамента социального развития Ханты-Мансийского автономного округа М.Г. Краско, Заместителя директора Департамента социального развития Тюменской области Т.В. Родяшиной, а также Заместителя руководителя Департамента труда и социальной защиты населения города Москвы П.А. Келлера в отношении практики организации работы домов-интернатов для престарелых и инвалидов по оказанию услуг гражданам по результатам независимой оценки качества оказания услуг организациями социального обслуживания.</w:t>
      </w:r>
    </w:p>
    <w:p>
      <w:pPr>
        <w:pStyle w:val="TextBody"/>
        <w:rPr/>
      </w:pPr>
      <w:r>
        <w:rPr/>
        <w:t>5. Отметить, что указанными субъектами Российской Федерации проделана существенная работа по проведению независимой оценки качества оказания услуг организациями в сфере социального обслуживания в 2015 году, а также с учетом результатов независимой оценки качества оказания услуг выработаны эффективные практики организации работы домов-интернатов для престарелых и инвалидов.</w:t>
      </w:r>
    </w:p>
    <w:p>
      <w:pPr>
        <w:pStyle w:val="TextBody"/>
        <w:rPr/>
      </w:pPr>
      <w:r>
        <w:rPr/>
        <w:t>6. С учетом высказанных в ходе рассмотрения указанного вопроса замечаний вынести на обсуждение профильной комиссии Совета (Комиссия по социальной поддержке населения – № 1) вопрос о возможностях совершенствования системы независимой оценки качества, в том числе: возможность «сквозного» рейтингования учреждений, возможность проверки всех социальных учреждений независимо от форм собственности, возможность более тонкой настройки критериев независимой оценки качества в зависимости от типа учреждения, возможность уточнения инструментария такой оценки.</w:t>
      </w:r>
    </w:p>
    <w:p>
      <w:pPr>
        <w:pStyle w:val="TextBody"/>
        <w:rPr/>
      </w:pPr>
      <w:r>
        <w:rPr/>
        <w:t>7. Рекомендовать Комиссии по социальной поддержке населения (№ 1) по итогам рассмотрения вышеуказанных вопросов сформулировать предложения по совершенствованию системы независимой оценки качества.</w:t>
      </w:r>
    </w:p>
    <w:p>
      <w:pPr>
        <w:pStyle w:val="TextBody"/>
        <w:rPr/>
      </w:pPr>
      <w:r>
        <w:rPr/>
        <w:t>8. Согласиться с тем, что эффективно функционирующая система независимой оценки качества способствует развитию и улучшению системы социального обслуживания в Российской Федерации.</w:t>
      </w:r>
    </w:p>
    <w:p>
      <w:pPr>
        <w:pStyle w:val="TextBody"/>
        <w:rPr/>
      </w:pPr>
      <w:r>
        <w:rPr>
          <w:rStyle w:val="StrongEmphasis"/>
        </w:rPr>
        <w:t>IV. Об итогах заседания Комиссии по социальной поддержке населения Совета (№ 1) 9 июня 2016 года по вопросу реформирования системы медико-социальной экспертизы</w:t>
      </w:r>
    </w:p>
    <w:p>
      <w:pPr>
        <w:pStyle w:val="TextBody"/>
        <w:rPr/>
      </w:pPr>
      <w:r>
        <w:rPr/>
        <w:t>1. Принять к сведению информацию Председателя Совета Е.А. Тополевой-Солдуновой, а также Директора департамента по делам инвалидов Минтруда России А.В. Гусенковой по разрабатываемому Министерством проекту плана мероприятий («дорожная карта») по совершенствованию системы медико-социальной экспертизы на период до 2020 года (далее – Дорожная карта), в том числе в части оснований для разработки, содержания (структуры) и сроков принятия Дорожной карты, а также планов по её реализации.</w:t>
      </w:r>
    </w:p>
    <w:p>
      <w:pPr>
        <w:pStyle w:val="TextBody"/>
        <w:rPr/>
      </w:pPr>
      <w:r>
        <w:rPr/>
        <w:t>2. Отметить высокую общественную значимость вышеуказанной Дорожной карты и предложить Комиссии по социальной поддержке населения (№ 1), а также заинтересованным членам Совета принять участие в работе по её подготовке.</w:t>
      </w:r>
    </w:p>
    <w:p>
      <w:pPr>
        <w:pStyle w:val="TextBody"/>
        <w:jc w:val="center"/>
        <w:rPr/>
      </w:pPr>
      <w:r>
        <w:rPr>
          <w:rStyle w:val="StrongEmphasis"/>
        </w:rPr>
        <w:t>V. О проекте приказа Минтруда России об утверждении технического задания на проведение пилотного проекта по отработке подходов к формированию системы комплексной реабилитации и абилитации детей-инвалидов</w:t>
      </w:r>
    </w:p>
    <w:p>
      <w:pPr>
        <w:pStyle w:val="TextBody"/>
        <w:rPr/>
      </w:pPr>
      <w:r>
        <w:rPr/>
        <w:t>1. Принять к сведению доклад Директора департамента по делам инвалидов Минтруда России А.В. Гусенковой по данному вопросу.</w:t>
      </w:r>
    </w:p>
    <w:p>
      <w:pPr>
        <w:pStyle w:val="TextBody"/>
        <w:rPr/>
      </w:pPr>
      <w:r>
        <w:rPr/>
        <w:t>2. С учетом состоявшегося обсуждения поддержать рассматриваемый проект приказа Минтруда России.</w:t>
      </w:r>
    </w:p>
    <w:p>
      <w:pPr>
        <w:pStyle w:val="TextBody"/>
        <w:jc w:val="center"/>
        <w:rPr/>
      </w:pPr>
      <w:r>
        <w:rPr>
          <w:rStyle w:val="StrongEmphasis"/>
        </w:rPr>
        <w:t>VI. О проекте приказа Минтруда России об утверждении порядка, условий, критериев конкурсного отбора субъектов Российской Федерации для участия в реализации пилотного проекта по формированию системы комплексной реабилитации и абилитации детей-инвалидов, а также регламента работы и состава конкурсной комиссии</w:t>
      </w:r>
    </w:p>
    <w:p>
      <w:pPr>
        <w:pStyle w:val="TextBody"/>
        <w:rPr/>
      </w:pPr>
      <w:r>
        <w:rPr/>
        <w:t>1. Принять к сведению доклад Директора департамента по делам инвалидов Минтруда России А.В. Гусенковой по указанному вопросу.</w:t>
      </w:r>
    </w:p>
    <w:p>
      <w:pPr>
        <w:pStyle w:val="TextBody"/>
        <w:rPr/>
      </w:pPr>
      <w:r>
        <w:rPr/>
        <w:t>2. С учетом состоявшегося обсуждения поддержать данный проект приказа Минтруда России.</w:t>
      </w:r>
    </w:p>
    <w:p>
      <w:pPr>
        <w:pStyle w:val="TextBody"/>
        <w:rPr/>
      </w:pPr>
      <w:r>
        <w:rPr>
          <w:rStyle w:val="StrongEmphasis"/>
        </w:rPr>
        <w:t>VII. Разное</w:t>
      </w:r>
    </w:p>
    <w:p>
      <w:pPr>
        <w:pStyle w:val="TextBody"/>
        <w:rPr/>
      </w:pPr>
      <w:r>
        <w:rPr/>
        <w:t>Отметить большой вклад Совета, а также Департамента по делам инвалидов Минтруда России в поддержке и продвижении инновационного продукта - видеоудалённого переводчика жестового языка, позволяющего снимать языковой барьер у людей с ограничением по слуху (благодаря данному сервису можно получить быстрый доступ к сурдопереводчику везде, где есть интернет, а это важно для людей, проживающих в отдаленных населённых пунктах). Данный сервис будет способствовать созданию действительно безбарьерной среды для инвалидов по слуху.</w:t>
      </w:r>
    </w:p>
    <w:p>
      <w:pPr>
        <w:pStyle w:val="Heading5"/>
        <w:spacing w:before="120" w:after="60"/>
        <w:rPr/>
      </w:pPr>
      <w:r>
        <w:rPr/>
        <w:t xml:space="preserve">Председатель Общественного совета при </w:t>
        <w:br/>
        <w:t xml:space="preserve">Министерстве труда и социальной защиты </w:t>
        <w:br/>
        <w:t>Российской Федерации</w:t>
        <w:br/>
        <w:t>Е.А. Тополева-Солдунова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