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30 июня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056"/>
        <w:gridCol w:w="4149"/>
      </w:tblGrid>
      <w:tr>
        <w:trPr/>
        <w:tc>
          <w:tcPr>
            <w:tcW w:w="605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414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605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414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 Авакян, А.С. Апполонова, И.В. Гривина, К. Д. Груздев, Н.В. Дусеева, В.В. Ермошкина, Е.В. Кулешова, В.Н. Поликанов, Л.А. Петрова, В.М. Стрелков, С.В. Тарасенкова, Н.А. Федоров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рассмотрении региональных программ, предусматривающими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rPr/>
      </w:pPr>
      <w:r>
        <w:rPr/>
        <w:t>(Кирсанов, Авакян, Апполонова, Гривина, Груздев, Кертанова, Москвина, Никитина, Петрова, Тарасенкова, Феоктистова)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Магаданской области, Красноярского края и Республики Тыва о региональных программах,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Органам исполнительной власти Магаданской области доработать программу в соответствии с критериями, установленными постановлением Правительства Российской Федерации от 29 февраля 2016 года № 155, и представить в Минтруд России: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дополнительные обоснования о потребности в субсидии из федерального бюджета на реализацию программы;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информационную справку о ситуации на АО «Аэрогеодезия Северо-Востока». </w:t>
      </w:r>
    </w:p>
    <w:p>
      <w:pPr>
        <w:pStyle w:val="TextBody"/>
        <w:rPr/>
      </w:pPr>
      <w:r>
        <w:rPr/>
        <w:t>3. Органам исполнительной власти Красноярского края доработать программу в соответствии с критериями, установленными постановлением Правительства Российской Федерации от 29 февраля 2016 года № 155, и в установленном порядке представить в Минтруд России.</w:t>
      </w:r>
    </w:p>
    <w:p>
      <w:pPr>
        <w:pStyle w:val="TextBody"/>
        <w:rPr/>
      </w:pPr>
      <w:r>
        <w:rPr/>
        <w:t>4. Органам исполнительной власти Республики Тыва доработать программу в соответствии с критериями, установленными постановлением Правительства Российской Федерации от 29 февраля 2016 года № 155; уточнить финансово-экономическое обоснование в части доли бюджетных ассигнований из бюджета субъекта Российской Федерации на реализацию дополнительных мероприятий в общем объеме финансирования. Доработанную программу с нормативным правовым актом субъекта Российской Федерации в установленном порядке представить в Минтруд России.</w:t>
      </w:r>
    </w:p>
    <w:p>
      <w:pPr>
        <w:pStyle w:val="TextBody"/>
        <w:jc w:val="center"/>
        <w:rPr/>
      </w:pPr>
      <w:r>
        <w:rPr>
          <w:rStyle w:val="StrongEmphasis"/>
        </w:rPr>
        <w:t>II. О корректировке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rPr/>
      </w:pPr>
      <w:r>
        <w:rPr/>
        <w:t>(Кирсанов, Авакян, Апполонова, Гривина, Груздев, Кертанова, Москвина, Никитина, Петрова, Тарасенкова, Феоктистова)</w:t>
      </w:r>
    </w:p>
    <w:p>
      <w:pPr>
        <w:pStyle w:val="TextBody"/>
        <w:rPr/>
      </w:pPr>
      <w:r>
        <w:rPr/>
        <w:t>1. Одобрить корректировку региональных программ Республики Бурятия, Республики Татарстан, Республики Мордовия, Брянской области, Владимирской области, Тамбовской области, Кировской области, Смоленской области, предусматривающих дополнительные мероприятия в сфере занятости населения, направленные на снижение напряженности на рынке труда, в том числе:</w:t>
      </w:r>
    </w:p>
    <w:p>
      <w:pPr>
        <w:pStyle w:val="TextBody"/>
        <w:rPr/>
      </w:pPr>
      <w:r>
        <w:rPr>
          <w:rStyle w:val="StrongEmphasis"/>
        </w:rPr>
        <w:t xml:space="preserve">Республики Бурятия </w:t>
      </w:r>
      <w:r>
        <w:rPr/>
        <w:t>– в части изменения численности участников мероприятия «Временная занятость работников, находящихся под риском увольнения» с 431 человека до 1 076 человек;</w:t>
      </w:r>
    </w:p>
    <w:p>
      <w:pPr>
        <w:pStyle w:val="TextBody"/>
        <w:rPr/>
      </w:pPr>
      <w:r>
        <w:rPr/>
        <w:t>уточнения перечня профессий по которым будет осуществляться профессиональное обучение работников ОАО «Молоко Бурятии» и ОАО «Улан-Удэнское Приборостроительное производственное объединение»;</w:t>
      </w:r>
    </w:p>
    <w:p>
      <w:pPr>
        <w:pStyle w:val="TextBody"/>
        <w:rPr/>
      </w:pPr>
      <w:r>
        <w:rPr>
          <w:rStyle w:val="StrongEmphasis"/>
        </w:rPr>
        <w:t>Республики Татарстан</w:t>
      </w:r>
      <w:r>
        <w:rPr/>
        <w:t xml:space="preserve"> – в части коррекции показателя эффективности реализации Программы «Доля численности работников, находящихся под риском увольнения, в численности занятых на предприятиях Республики Татарстан» не более 1,7 процента на аналогичный показатель в абсолютном выражении «Численность работников, находящихся под риском увольнения» 27000 человек;</w:t>
      </w:r>
    </w:p>
    <w:p>
      <w:pPr>
        <w:pStyle w:val="TextBody"/>
        <w:rPr/>
      </w:pPr>
      <w:r>
        <w:rPr/>
        <w:t>приведения в соответствии с распоряжением Правительства Российской Федерации от 30 апреля 2016 г. № 836-р объема субсидий, предоставляемых в 2016 году из федерального бюджета;</w:t>
      </w:r>
    </w:p>
    <w:p>
      <w:pPr>
        <w:pStyle w:val="TextBody"/>
        <w:rPr/>
      </w:pPr>
      <w:r>
        <w:rPr>
          <w:rStyle w:val="StrongEmphasis"/>
        </w:rPr>
        <w:t>Республики Мордовия</w:t>
      </w:r>
      <w:r>
        <w:rPr/>
        <w:t xml:space="preserve"> - в части включения в мероприятие «Опережающее профессиональное обучение и стажировка» и «Временная занятость работников, находящихся под риском увольнения» ОАО «Станкостроитель» (численность участников соответственно – 60 и 133 человека), ООО «Радиодеталь» (численность участников – 45 и 67 человек), ООО «ВКМ-Сталь» (временная занятость 450 работников);</w:t>
      </w:r>
    </w:p>
    <w:p>
      <w:pPr>
        <w:pStyle w:val="TextBody"/>
        <w:rPr/>
      </w:pPr>
      <w:r>
        <w:rPr/>
        <w:t xml:space="preserve">изменения численности участников мероприятия «Временная занятость работников, находящихся под риском увольнения» с 1 200 человек до 1 850 человек; </w:t>
      </w:r>
    </w:p>
    <w:p>
      <w:pPr>
        <w:pStyle w:val="TextBody"/>
        <w:rPr/>
      </w:pPr>
      <w:r>
        <w:rPr>
          <w:rStyle w:val="StrongEmphasis"/>
        </w:rPr>
        <w:t>Брянской области</w:t>
      </w:r>
      <w:r>
        <w:rPr/>
        <w:t xml:space="preserve"> – в части исключения из числа участников Программы ООО «Комбинат керамических изделий» (численность участников - 14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ОАО «Карачевский завод «Электродеталь» (численность участников – 14 человек);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641 человека до 627 человек, мероприятия «Возмещение работодателям расходов на частичную оплату труда работников» с 42 человек до 56 человек;</w:t>
      </w:r>
    </w:p>
    <w:p>
      <w:pPr>
        <w:pStyle w:val="TextBody"/>
        <w:rPr/>
      </w:pPr>
      <w:r>
        <w:rPr>
          <w:rStyle w:val="StrongEmphasis"/>
        </w:rPr>
        <w:t>Владимирской области</w:t>
      </w:r>
      <w:r>
        <w:rPr/>
        <w:t xml:space="preserve"> – в части исключения из числа участников Программы ООО «Завод «Автоприбор» (численность участников – 66 человек), ОАО НПО «Наука» (численность участников – 7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«Научно внедренческое предприятие «Владипур» (численность участников – 15 человек), ООО «Завод Муромэнергомаш» численность участников – 20 человек), ООО «Радугаприбор» (численность участников – 10 человек), ООО «ДСК пластик Омниум Инержи» (численность участников – 10 человек), ООО «Петушкинский завод силикатного кирпича» (численность участников – 3 человека);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АО «Владимирское производственное объединение «Точмаш» (численность участников – 15 человек), ЗАО «Муром» (численность участников – 20 человек), ОАО «Ковровский электромеханический завод» (численность участников – 5 человек), ООО «Объединенная компания «Рустехнологии Муром» (численность участников – 10 человек),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ООО «Научно внедренческое предприятие «Владипур» (численность участников – 20 человек), ООО «Радугаприбор» (численность участников – 40 человек), ООО «ДСК пластик Омниум Инержи» (численность участников – 20 человек);</w:t>
      </w:r>
    </w:p>
    <w:p>
      <w:pPr>
        <w:pStyle w:val="TextBody"/>
        <w:rPr/>
      </w:pPr>
      <w:r>
        <w:rPr>
          <w:rStyle w:val="StrongEmphasis"/>
        </w:rPr>
        <w:t>Тамбовской области</w:t>
      </w:r>
      <w:r>
        <w:rPr/>
        <w:t xml:space="preserve"> - в части включения в мероприятие «Опережающее профессиональное обучение и стажировка», «Возмещение работодателям расходов на частичную оплату труда работников» и «Временная занятость работников, находящихся под риском увольнения» ОАО «Первомайскхиммаш» (численность участников соответственно – 30 человек, 2 человека и 133 человека);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 735 человек до 765 человек, мероприятия «Временная занятость работников, находящихся под риском увольнения» с 415 человек до 500 человек, мероприятия «Возмещение затрат, связанных с трудоустройством инвалидов» с 18 человек до 19 человек.</w:t>
      </w:r>
    </w:p>
    <w:p>
      <w:pPr>
        <w:pStyle w:val="TextBody"/>
        <w:rPr/>
      </w:pPr>
      <w:r>
        <w:rPr>
          <w:rStyle w:val="StrongEmphasis"/>
        </w:rPr>
        <w:t>Кировской области</w:t>
      </w:r>
      <w:r>
        <w:rPr/>
        <w:t xml:space="preserve"> - в части исключения из числа участников Программы ООО «Вятка – Промжелдортранс» (численность участников – 3 человека), ЗАО «Агрокомбинат племзавод «Красногорский» (численность участников – 7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«Кировское производственное предприятие «Прожектор» (численность участников – 8 человек), ОАО «Весна» (численность участников – 3 человека), ООО «Стрижевский силикатный завод Силворд» (численность участников – 2 человека), ООО «Лесозаготовительная контора «Лунвож» (численность участников – 6 человек);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ООО «Стрижевский силикатный завод Силворд» (численность участников – 20 человек), ООО «Лесозаготовительная контора «Лунвож» (численность участников – 10 человек);</w:t>
      </w:r>
    </w:p>
    <w:p>
      <w:pPr>
        <w:pStyle w:val="TextBody"/>
        <w:rPr/>
      </w:pPr>
      <w:r>
        <w:rPr>
          <w:rStyle w:val="StrongEmphasis"/>
        </w:rPr>
        <w:t>Смоленской области</w:t>
      </w:r>
      <w:r>
        <w:rPr/>
        <w:t xml:space="preserve"> - в части включения в мероприятие «Опережающее профессиональное обучение и стажировка» и «Временная занятость работников, находящихся под риском увольнения» </w:t>
        <w:br/>
        <w:t>ООО «Рославльские тормозные системы» (численность участников соответственно – 55 человек и 470 человек);</w:t>
      </w:r>
    </w:p>
    <w:p>
      <w:pPr>
        <w:pStyle w:val="TextBody"/>
        <w:rPr/>
      </w:pPr>
      <w:r>
        <w:rPr/>
        <w:t>исключения из мероприятия «Опережающее профессиональное обучение и стажировка» ООО «СААЗ» (численность участников - 55 человек); обеспечения временной занятости работников ООО «СААЗ» на ООО «Рославльские тормозные системы» (численность участников – 470 человек);</w:t>
      </w:r>
    </w:p>
    <w:p>
      <w:pPr>
        <w:pStyle w:val="TextBody"/>
        <w:rPr/>
      </w:pPr>
      <w:r>
        <w:rPr/>
        <w:t>в части коррекции показателя уровня регистрируемой безработицы с 1,35% до 1,55%, коэффициента напряженности с 1,5 до 2,0 человек на вакансию, введения показателя «численность работников, находящихся под риском увольнения, на конец года – не более 2 200 человек».</w:t>
      </w:r>
    </w:p>
    <w:p>
      <w:pPr>
        <w:pStyle w:val="TextBody"/>
        <w:rPr/>
      </w:pPr>
      <w:r>
        <w:rPr/>
        <w:t>2. Высшим исполнительным органам государственной власти Республики Бурятия, Республики Татарстан, Республики Мордовия, Брянской, Владимирской, Тамбовской, Кировской и Смоленской областей в 2-х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Роструд.</w:t>
      </w:r>
    </w:p>
    <w:p>
      <w:pPr>
        <w:pStyle w:val="TextBody"/>
        <w:rPr/>
      </w:pPr>
      <w:r>
        <w:rPr/>
        <w:t>3. Органам исполнительной власти Самарской области доработать представленную корректировку программы в соответствии с замечаниями, данными на рабочей группе, и в установленном порядке представить в Минтруд России.</w:t>
      </w:r>
    </w:p>
    <w:p>
      <w:pPr>
        <w:pStyle w:val="Heading5"/>
        <w:spacing w:before="120" w:after="60"/>
        <w:rPr/>
      </w:pPr>
      <w:r>
        <w:rPr/>
        <w:t>Председатель межведомственной</w:t>
        <w:br/>
        <w:t>рабочей группы, Первый заместитель</w:t>
        <w:br/>
        <w:t>Министра 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