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6 июля 2016 г.</w:t>
      </w:r>
    </w:p>
    <w:p>
      <w:pPr>
        <w:pStyle w:val="Heading2"/>
        <w:rPr/>
      </w:pPr>
      <w:r>
        <w:rPr/>
        <w:t>«Рекомендации органам исполнительной власти субъектов Российской Федерации по поддержке нуждающихся женщин, направленной на профилактику отказов от новорожденных детей, на основе анализа лучших практик субъектов Российской Федерации»</w:t>
      </w:r>
    </w:p>
    <w:p>
      <w:pPr>
        <w:pStyle w:val="TextBody"/>
        <w:spacing w:before="0" w:after="283"/>
        <w:rPr/>
      </w:pPr>
      <w:r>
        <w:rPr/>
        <w:t>Рекомендации органам исполнительной власти субъектов Российской Федерации по поддержке нуждающихся женщин, направленной на профилактику отказов от новорожденных детей, на основе анализа лучших практик субъектов Российской Федерации разработаны в соответствии с Концепцией государственной семейной политики на период до 2025 года, утвержденной распоряжением Правительства Российской Федерации от 25 августа 2014 года № 1618-р.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