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14 июля 2016 г.</w:t>
      </w:r>
    </w:p>
    <w:p>
      <w:pPr>
        <w:pStyle w:val="Heading2"/>
        <w:rPr/>
      </w:pPr>
      <w:r>
        <w:rPr/>
        <w:t>«Соглашение о внесении изменений и дополнений в Отраслевое соглашение по атомной энергетике, промышленности и науке на 2015-2017 годы»</w:t>
      </w:r>
    </w:p>
    <w:p>
      <w:pPr>
        <w:pStyle w:val="TextBody"/>
        <w:rPr/>
      </w:pPr>
      <w:r>
        <w:rPr/>
        <w:t>(Зарегистрировано в Роструде 17 августа 2016 года, регистрационный номер 11/15-17)</w:t>
      </w:r>
    </w:p>
    <w:p>
      <w:pPr>
        <w:pStyle w:val="TextBody"/>
        <w:rPr/>
      </w:pPr>
      <w:r>
        <w:rPr/>
        <w:t>Стороны Отраслевого соглашения по атомной энергетике, промышленности и науке на 2015 - 2017 годы: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в лице их полномочного представителя - Российского профессионального союза работников атомной энергетики и промышленности (далее - Профсоюз);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работодатели в лице их полномочного представителя - Союза работодателей атомной промышленности, энергетики и науки России (далее - Союз работодателей);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а также уполномоченный орган управления использования атомной энергии - Государственная корпорация по атомной энергии "Росатом" (далее - Госкорпорация "Росатом"), </w:t>
      </w:r>
    </w:p>
    <w:p>
      <w:pPr>
        <w:pStyle w:val="TextBody"/>
        <w:rPr/>
      </w:pPr>
      <w:r>
        <w:rPr/>
        <w:t>руководствуясь интересами сторон в целях поддержания социальной стабильности в организациях атомной энергетики, промышленности и науки, с учетом текущей экономической ситуации и необходимости сохранения единого правового поля регулирования социально-трудовых отношений в отрасли, решили:</w:t>
      </w:r>
    </w:p>
    <w:p>
      <w:pPr>
        <w:pStyle w:val="TextBody"/>
        <w:rPr/>
      </w:pPr>
      <w:r>
        <w:rPr/>
        <w:t>1. Изложить подпункты 6.2.2, 6.2.3, 6.2.4, 6.2.5, 6.2.9 Отраслевого соглашения по атомной энергетике, промышленности и науке на 2015 - 2017 годы в следующей редакции:</w:t>
      </w:r>
    </w:p>
    <w:p>
      <w:pPr>
        <w:pStyle w:val="TextBody"/>
        <w:rPr/>
      </w:pPr>
      <w:r>
        <w:rPr/>
        <w:t>«6.2.2. Устанавливают минимальный размер начисленной заработной платы работникам атомных электростанций, организаций ядерно-топливного и ядерно-оружейного комплексов, отработавшим полностью месячную норму рабочего времени и выполнившим свои трудовые обязанности, не ниже 1,5 прожиточного минимума трудоспособного населения, а для работников других организаций - не ниже 1,3 прожиточного минимума трудоспособного населения в субъектах Российской Федерации, на территории которых расположены организации.</w:t>
      </w:r>
    </w:p>
    <w:p>
      <w:pPr>
        <w:pStyle w:val="TextBody"/>
        <w:rPr/>
      </w:pPr>
      <w:r>
        <w:rPr/>
        <w:t>6.2.3. Не обеспечившие предусмотренный пунктом 6.2.2 минимальный размер начисленной заработной платы работникам, устанавливают размер месячного оклада по минимальному уровню должности (грейду) поддерживающей функции (размер минимальной месячной тарифной ставки (оклада) работника 1-го разряда) не ниже прожиточного минимума трудоспособного населения за 1 квартал текущего года в субъектах Российской Федерации, на территории которых расположены организации.</w:t>
      </w:r>
    </w:p>
    <w:p>
      <w:pPr>
        <w:pStyle w:val="TextBody"/>
        <w:rPr/>
      </w:pPr>
      <w:r>
        <w:rPr/>
        <w:t>6.2.4. Обеспечивают долю выплат, носящих постоянный характер, не менее 70% в заработной плате рабочих, специалистов, служащих и руководителей (за исключением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подразделений). Перечень указанных выплат установлен приложением к Соглашению.</w:t>
      </w:r>
    </w:p>
    <w:p>
      <w:pPr>
        <w:pStyle w:val="TextBody"/>
        <w:rPr/>
      </w:pPr>
      <w:r>
        <w:rPr/>
        <w:t>В случае перевыполнения плановых показателей финансово-хозяйственной деятельности (сокращение расходов, повышение производительности труда, увеличение рентабельности и т. п.) допускается временное отклонение от указанного соотношения при росте заработной платы указанных категорий работников за счет увеличения размера переменной части оплаты труда по согласованию или с учётом мнения первичной профсоюзной организации.</w:t>
      </w:r>
    </w:p>
    <w:p>
      <w:pPr>
        <w:pStyle w:val="TextBody"/>
        <w:rPr/>
      </w:pPr>
      <w:r>
        <w:rPr/>
        <w:t>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может устанавливаться иное соотношение постоянной и переменной частей заработной платы в зависимости от уровня должности (грейда) работника и степени его влияния на конечный результат деятельности организации.</w:t>
      </w:r>
    </w:p>
    <w:p>
      <w:pPr>
        <w:pStyle w:val="TextBody"/>
        <w:rPr/>
      </w:pPr>
      <w:r>
        <w:rPr/>
        <w:t>6.2.5. Обеспечивают индексацию заработной платы работников организаций отрасли в связи с ростом потребительских цен на товары и услуги не реже 1 раза в год путём установления ежемесячной индексирующей выплаты либо путём индексации должностных окладов (тарифных ставок).</w:t>
      </w:r>
    </w:p>
    <w:p>
      <w:pPr>
        <w:pStyle w:val="TextBody"/>
        <w:rPr/>
      </w:pPr>
      <w:r>
        <w:rPr/>
        <w:t>Конкретный порядок проведения индексации и учёта ежемесячной индексирующей выплаты при индексации должностных окладов предусматривается коллективным договором либо иным нормативным актом по согласованию или с учётом мнения первичной профсоюзной организации.</w:t>
      </w:r>
    </w:p>
    <w:p>
      <w:pPr>
        <w:pStyle w:val="TextBody"/>
        <w:rPr/>
      </w:pPr>
      <w:r>
        <w:rPr/>
        <w:t>Ежемесячная индексирующая выплата учитывается при расчёте средней заработной платы работника.</w:t>
      </w:r>
    </w:p>
    <w:p>
      <w:pPr>
        <w:pStyle w:val="TextBody"/>
        <w:rPr/>
      </w:pPr>
      <w:r>
        <w:rPr/>
        <w:t>6.2.5.1. Размеры и сроки индексации в 2016 и в 2017 годах: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2016 год: индексация проводится исходя из бюджетного индекса потребительских цен (ИПЦ) 2016 года (7,4%), как правило, не позднее 1 сентября.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2017 год: индексация проводится исходя из прогнозного среднегодового ИПЦ 2017 года по данным Минэкономразвития России с последующей корректировкой по фактическому ИПЦ по данным Федеральной службы государственной статистики в случае его превышения по отношению к прогнозному (корректировка осуществляется при проведении следующей индексации) не позднее 1 сентября. </w:t>
      </w:r>
    </w:p>
    <w:p>
      <w:pPr>
        <w:pStyle w:val="TextBody"/>
        <w:rPr/>
      </w:pPr>
      <w:r>
        <w:rPr/>
        <w:t>6.2.5.2. В 2016 и в 2017 годах может быть установлен иной размер индексации по согласованию или с учётом мнения первичной профсоюзной организации в отдельных организациях отрасли и для отдельных должностей/ грейдов с учётом: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уровня заработных плат по должностям/ грейдам относительно уровня заработных плат в отрасли с учётом региональной специфики;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возможности роста размера заработной платы по должностям/ грейдам за счёт других элементов оплаты труда помимо индексирующей выплаты;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ограничений, связанных с государственным регулированием цен и тарифов на товары (услуги) и выполнением работ по государственному оборонному заказу. </w:t>
      </w:r>
    </w:p>
    <w:p>
      <w:pPr>
        <w:pStyle w:val="TextBody"/>
        <w:rPr/>
      </w:pPr>
      <w:r>
        <w:rPr/>
        <w:t>Повышение заработной платы работников помимо индексации осуществляется при условии улучшения показателей финансово-хозяйственной деятельности организации, достигнутых за счёт сокращения расходов, повышения производительности труда, увеличения рентабельности.</w:t>
      </w:r>
    </w:p>
    <w:p>
      <w:pPr>
        <w:pStyle w:val="TextBody"/>
        <w:rPr/>
      </w:pPr>
      <w:r>
        <w:rPr/>
        <w:t>6.2.9. Работникам, работающим в многосменном режиме, осуществляют доплаты: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работу в вечернее время (с 18.00 до 22.00 часов) – в размере не менее 20% оклада (тарифной ставки);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работу в ночное время (с 22.00 до 6.00 часов) в размере не менее 40% оклада (тарифной ставки);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за работу в ночную смену (на которую приходится не менее 50% часов ночного времени) – в размере не менее 40% оклада (тарифной ставки). </w:t>
      </w:r>
    </w:p>
    <w:p>
      <w:pPr>
        <w:pStyle w:val="TextBody"/>
        <w:rPr/>
      </w:pPr>
      <w:r>
        <w:rPr/>
        <w:t>Доплаты работнику за работу в ночное время и ночную смену одновременно не устанавливаются.</w:t>
      </w:r>
    </w:p>
    <w:p>
      <w:pPr>
        <w:pStyle w:val="TextBody"/>
        <w:rPr/>
      </w:pPr>
      <w:r>
        <w:rPr/>
        <w:t>Применение данной нормы не должно привести к уменьшению суммы доплат работникам за работу в многосменном режиме, которые выплачивались до принятия настоящего Соглашения.</w:t>
      </w:r>
    </w:p>
    <w:p>
      <w:pPr>
        <w:pStyle w:val="TextBody"/>
        <w:rPr/>
      </w:pPr>
      <w:r>
        <w:rPr/>
        <w:t>Конкретный размер доплат устанавливается коллективным договором или локальным нормативным актом.».</w:t>
      </w:r>
    </w:p>
    <w:p>
      <w:pPr>
        <w:pStyle w:val="TextBody"/>
        <w:rPr/>
      </w:pPr>
      <w:r>
        <w:rPr/>
        <w:t>2. Дополнить раздел 6 Отраслевого соглашения по атомной энергетике, промышленности и науке на 2015 - 2017 годы примечанием в редакции:</w:t>
      </w:r>
    </w:p>
    <w:p>
      <w:pPr>
        <w:pStyle w:val="TextBody"/>
        <w:rPr/>
      </w:pPr>
      <w:r>
        <w:rPr/>
        <w:t>«* Порядок расчёта показателей выполнения обязательств по пп. 6.2.2, 6.2.3, 6.2.4, 6.4 Соглашения устанавливается Комиссией.»;</w:t>
      </w:r>
    </w:p>
    <w:p>
      <w:pPr>
        <w:pStyle w:val="TextBody"/>
        <w:rPr/>
      </w:pPr>
      <w:r>
        <w:rPr/>
        <w:t>3. Изложить Приложение к Отраслевому соглашению по атомной энергетике, промышленности и науке на 2015 - 2017 годы в следующей редакции:</w:t>
      </w:r>
    </w:p>
    <w:p>
      <w:pPr>
        <w:pStyle w:val="TextBody"/>
        <w:jc w:val="right"/>
        <w:rPr/>
      </w:pPr>
      <w:r>
        <w:rPr/>
        <w:t>«Приложение</w:t>
      </w:r>
    </w:p>
    <w:p>
      <w:pPr>
        <w:pStyle w:val="TextBody"/>
        <w:jc w:val="right"/>
        <w:rPr/>
      </w:pPr>
      <w:r>
        <w:rPr/>
        <w:t>к Отраслевому соглашению по атомной энергетике, промышленности и науке на 2015 - 2017 годы</w:t>
      </w:r>
    </w:p>
    <w:p>
      <w:pPr>
        <w:pStyle w:val="TextBody"/>
        <w:jc w:val="center"/>
        <w:rPr/>
      </w:pPr>
      <w:r>
        <w:rPr/>
        <w:t>ПЕРЕЧЕНЬ ВЫПЛАТ, ОТНОСЯЩИХСЯ К ВЫПЛАТАМ ПОСТОЯННОГО ХАРАКТЕРА В ЗАРАБОТНОЙ ПЛАТЕ РАБОТНИКА</w:t>
      </w:r>
    </w:p>
    <w:p>
      <w:pPr>
        <w:pStyle w:val="TextBody"/>
        <w:rPr/>
      </w:pPr>
      <w:r>
        <w:rPr/>
        <w:t>К выплатам постоянного характера в составе заработной платы работника относятся:</w:t>
      </w:r>
    </w:p>
    <w:p>
      <w:pPr>
        <w:pStyle w:val="TextBody"/>
        <w:rPr/>
      </w:pPr>
      <w:r>
        <w:rPr/>
        <w:t>1. Оплата по окладам (должностным окладам, тарифным ставкам).</w:t>
      </w:r>
    </w:p>
    <w:p>
      <w:pPr>
        <w:pStyle w:val="TextBody"/>
        <w:rPr/>
      </w:pPr>
      <w:r>
        <w:rPr/>
        <w:t>2. Оплата по сдельным расценкам, выплата межразрядной разницы.</w:t>
      </w:r>
    </w:p>
    <w:p>
      <w:pPr>
        <w:pStyle w:val="TextBody"/>
        <w:rPr/>
      </w:pPr>
      <w:r>
        <w:rPr/>
        <w:t>3. Интегрированная стимулирующая надбавка.</w:t>
      </w:r>
    </w:p>
    <w:p>
      <w:pPr>
        <w:pStyle w:val="TextBody"/>
        <w:rPr/>
      </w:pPr>
      <w:r>
        <w:rPr/>
        <w:t>4. Процентные надбавки работникам, допущенным к государственной тайне на постоянной основе, и сотрудникам структурных подразделений по защите государственной тайны.</w:t>
      </w:r>
    </w:p>
    <w:p>
      <w:pPr>
        <w:pStyle w:val="TextBody"/>
        <w:rPr/>
      </w:pPr>
      <w:r>
        <w:rPr/>
        <w:t>5. Доплаты и надбавки компенсационного характера за выполнение работ в условиях, отклоняющихся от нормальных.</w:t>
      </w:r>
    </w:p>
    <w:p>
      <w:pPr>
        <w:pStyle w:val="TextBody"/>
        <w:rPr/>
      </w:pPr>
      <w:r>
        <w:rPr/>
        <w:t>6. Оплата неотработанных периодов, за которые работнику производятся выплаты (в т.ч. оплата ежегодных отпусков и т.д.) и служебных командировок</w:t>
      </w:r>
    </w:p>
    <w:p>
      <w:pPr>
        <w:pStyle w:val="TextBody"/>
        <w:rPr/>
      </w:pPr>
      <w:r>
        <w:rPr/>
        <w:t>7. Ежемесячная индексирующая выплата.</w:t>
      </w:r>
    </w:p>
    <w:p>
      <w:pPr>
        <w:pStyle w:val="TextBody"/>
        <w:rPr/>
      </w:pPr>
      <w:r>
        <w:rPr/>
        <w:t>8. Другие доплаты и надбавки, предусмотренные действующим законодательством и локальными нормативными актами организаций.</w:t>
      </w:r>
    </w:p>
    <w:p>
      <w:pPr>
        <w:pStyle w:val="TextBody"/>
        <w:rPr/>
      </w:pPr>
      <w:r>
        <w:rPr/>
        <w:t>Примечание:</w:t>
      </w:r>
    </w:p>
    <w:p>
      <w:pPr>
        <w:pStyle w:val="TextBody"/>
        <w:rPr/>
      </w:pPr>
      <w:r>
        <w:rPr/>
        <w:t>Удельный вес выплат, носящих постоянный характер, определяется как отношение суммы</w:t>
      </w:r>
      <w:r>
        <w:rPr>
          <w:rStyle w:val="StrongEmphasis"/>
        </w:rPr>
        <w:t xml:space="preserve"> </w:t>
      </w:r>
      <w:r>
        <w:rPr/>
        <w:t>выплат постоянного характера, указанных выше, к сумме всех видов выплат, включающих следующие выплаты переменного характера за полугодие и год:</w:t>
      </w:r>
      <w:r>
        <w:rPr>
          <w:rStyle w:val="StrongEmphasis"/>
        </w:rPr>
        <w:t xml:space="preserve"> </w:t>
      </w:r>
      <w:r>
        <w:rPr/>
        <w:t>годовая премия по КПЭ, проектная премия, оперативная премия, разовая премия за ОВЗ, премия за ПСР.</w:t>
      </w:r>
    </w:p>
    <w:p>
      <w:pPr>
        <w:pStyle w:val="TextBody"/>
        <w:rPr/>
      </w:pPr>
      <w:r>
        <w:rPr/>
        <w:t>При расчёте показателя удельного веса выплат, носящих постоянный характер, не учитываются выплаты персоналу: при увольнении в связи с сокращением численности, штата организации; при увольнении по соглашению сторон; при релокации и т.д.</w:t>
      </w:r>
    </w:p>
    <w:p>
      <w:pPr>
        <w:pStyle w:val="TextBody"/>
        <w:rPr/>
      </w:pPr>
      <w:r>
        <w:rPr/>
        <w:t>Выплаты социального характера не учитываются в составе заработной платы работника.</w:t>
      </w:r>
    </w:p>
    <w:p>
      <w:pPr>
        <w:pStyle w:val="TextBody"/>
        <w:rPr/>
      </w:pPr>
      <w:r>
        <w:rPr/>
        <w:t>Расчёт производится с учётом районного коэффициента и северной надбавки (в случаях их применения).».</w:t>
      </w:r>
    </w:p>
    <w:p>
      <w:pPr>
        <w:pStyle w:val="TextBody"/>
        <w:rPr/>
      </w:pPr>
      <w:r>
        <w:rPr/>
        <w:t xml:space="preserve">4. Настоящее соглашение вступает в силу со дня его подписания и является неотъемлемой частью Отраслевого соглашения по атомной энергетике, промышленности и науке на 2015 - 2017 годы. </w:t>
      </w:r>
    </w:p>
    <w:p>
      <w:pPr>
        <w:pStyle w:val="Heading5"/>
        <w:rPr/>
      </w:pPr>
      <w:r>
        <w:rPr/>
        <w:t>Генеральный директор</w:t>
      </w:r>
    </w:p>
    <w:p>
      <w:pPr>
        <w:pStyle w:val="Heading5"/>
        <w:rPr/>
      </w:pPr>
      <w:r>
        <w:rPr/>
        <w:t>Общероссийского отраслевого</w:t>
      </w:r>
    </w:p>
    <w:p>
      <w:pPr>
        <w:pStyle w:val="Heading5"/>
        <w:rPr/>
      </w:pPr>
      <w:r>
        <w:rPr/>
        <w:t>объединения работодателей</w:t>
      </w:r>
    </w:p>
    <w:p>
      <w:pPr>
        <w:pStyle w:val="Heading5"/>
        <w:rPr/>
      </w:pPr>
      <w:r>
        <w:rPr/>
        <w:t>«Союз работодателей атомной промышленности,</w:t>
      </w:r>
    </w:p>
    <w:p>
      <w:pPr>
        <w:pStyle w:val="Heading5"/>
        <w:rPr/>
      </w:pPr>
      <w:r>
        <w:rPr/>
        <w:t>энергетики и науки России»</w:t>
      </w:r>
    </w:p>
    <w:p>
      <w:pPr>
        <w:pStyle w:val="Heading5"/>
        <w:rPr/>
      </w:pPr>
      <w:r>
        <w:rPr/>
        <w:t>А.Ю. Хитров</w:t>
      </w:r>
    </w:p>
    <w:p>
      <w:pPr>
        <w:pStyle w:val="Heading5"/>
        <w:rPr/>
      </w:pPr>
      <w:r>
        <w:rPr/>
        <w:t>Председатель Российского</w:t>
      </w:r>
    </w:p>
    <w:p>
      <w:pPr>
        <w:pStyle w:val="Heading5"/>
        <w:rPr/>
      </w:pPr>
      <w:r>
        <w:rPr/>
        <w:t>профессионального союза</w:t>
      </w:r>
    </w:p>
    <w:p>
      <w:pPr>
        <w:pStyle w:val="Heading5"/>
        <w:rPr/>
      </w:pPr>
      <w:r>
        <w:rPr/>
        <w:t>работников атомной энергетики</w:t>
      </w:r>
    </w:p>
    <w:p>
      <w:pPr>
        <w:pStyle w:val="Heading5"/>
        <w:rPr/>
      </w:pPr>
      <w:r>
        <w:rPr/>
        <w:t>и промышленности</w:t>
      </w:r>
    </w:p>
    <w:p>
      <w:pPr>
        <w:pStyle w:val="Heading5"/>
        <w:rPr/>
      </w:pPr>
      <w:r>
        <w:rPr/>
        <w:t>И.А. Фомичёв</w:t>
      </w:r>
    </w:p>
    <w:p>
      <w:pPr>
        <w:pStyle w:val="Heading5"/>
        <w:rPr/>
      </w:pPr>
      <w:r>
        <w:rPr/>
        <w:t>Генеральный директор</w:t>
      </w:r>
    </w:p>
    <w:p>
      <w:pPr>
        <w:pStyle w:val="Heading5"/>
        <w:rPr/>
      </w:pPr>
      <w:r>
        <w:rPr/>
        <w:t xml:space="preserve">Госкорпорации «Росатом» </w:t>
      </w:r>
    </w:p>
    <w:p>
      <w:pPr>
        <w:pStyle w:val="Heading5"/>
        <w:spacing w:before="120" w:after="60"/>
        <w:rPr/>
      </w:pPr>
      <w:r>
        <w:rPr/>
        <w:t>С.В. Кириенко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