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Минтруда России от 5 октября 2016 г.</w:t>
      </w:r>
    </w:p>
    <w:p>
      <w:pPr>
        <w:pStyle w:val="Heading2"/>
        <w:rPr/>
      </w:pPr>
      <w:r>
        <w:rPr/>
        <w:t>«Протокол заочного голосования межведомственной рабочей группы по рассмотрению и отбору региональных программ субъектов Российской Федерации, предусматривающих дополнительные мероприятия в сфере занятости населения, направленные на снижение напряженности на рынке труда субъектов Российской Федерации»</w:t>
      </w:r>
    </w:p>
    <w:p>
      <w:pPr>
        <w:pStyle w:val="TextBody"/>
        <w:rPr>
          <w:u w:val="single"/>
        </w:rPr>
      </w:pPr>
      <w:r>
        <w:rPr>
          <w:u w:val="single"/>
        </w:rPr>
        <w:t>Приняли участие:</w:t>
      </w:r>
    </w:p>
    <w:tbl>
      <w:tblPr>
        <w:tblW w:w="10205" w:type="dxa"/>
        <w:jc w:val="left"/>
        <w:tblInd w:w="0" w:type="dxa"/>
        <w:tblBorders/>
        <w:tblCellMar>
          <w:top w:w="0" w:type="dxa"/>
          <w:left w:w="0" w:type="dxa"/>
          <w:bottom w:w="0" w:type="dxa"/>
          <w:right w:w="0" w:type="dxa"/>
        </w:tblCellMar>
      </w:tblPr>
      <w:tblGrid>
        <w:gridCol w:w="5795"/>
        <w:gridCol w:w="4410"/>
      </w:tblGrid>
      <w:tr>
        <w:trPr/>
        <w:tc>
          <w:tcPr>
            <w:tcW w:w="5795" w:type="dxa"/>
            <w:tcBorders/>
            <w:shd w:fill="auto" w:val="clear"/>
          </w:tcPr>
          <w:p>
            <w:pPr>
              <w:pStyle w:val="TableContents"/>
              <w:spacing w:before="0" w:after="283"/>
              <w:rPr/>
            </w:pPr>
            <w:r>
              <w:rPr/>
              <w:t>Директор Департамента занятости населения Минтруда России – заместитель руководителя межведомственной рабочей группы</w:t>
            </w:r>
          </w:p>
        </w:tc>
        <w:tc>
          <w:tcPr>
            <w:tcW w:w="4410" w:type="dxa"/>
            <w:tcBorders/>
            <w:shd w:fill="auto" w:val="clear"/>
          </w:tcPr>
          <w:p>
            <w:pPr>
              <w:pStyle w:val="TableContents"/>
              <w:spacing w:before="0" w:after="283"/>
              <w:rPr/>
            </w:pPr>
            <w:r>
              <w:rPr/>
              <w:t>М.В. Кирсанов</w:t>
            </w:r>
          </w:p>
        </w:tc>
      </w:tr>
      <w:tr>
        <w:trPr/>
        <w:tc>
          <w:tcPr>
            <w:tcW w:w="5795" w:type="dxa"/>
            <w:tcBorders/>
            <w:shd w:fill="auto" w:val="clear"/>
          </w:tcPr>
          <w:p>
            <w:pPr>
              <w:pStyle w:val="TableContents"/>
              <w:spacing w:before="0" w:after="283"/>
              <w:rPr/>
            </w:pPr>
            <w:r>
              <w:rPr/>
              <w:t>Члены рабочей группы по рассмотрению и отбору региональных программ субъектов Российской Федерации, предусматривающих дополнительные мероприятия в сфере занятости населения, направленные на снижение напряженности на рынке труда субъектов Российской Федерации</w:t>
            </w:r>
          </w:p>
        </w:tc>
        <w:tc>
          <w:tcPr>
            <w:tcW w:w="4410" w:type="dxa"/>
            <w:tcBorders/>
            <w:shd w:fill="auto" w:val="clear"/>
          </w:tcPr>
          <w:p>
            <w:pPr>
              <w:pStyle w:val="TableContents"/>
              <w:spacing w:before="0" w:after="283"/>
              <w:rPr/>
            </w:pPr>
            <w:r>
              <w:rPr/>
              <w:t>С.А. Авакян, А.С. Апполонова, И.В. Гривина, Н.В. Дусеева, Ю.Р. Калимулина, В.И. Калинин, С.А. Картошкин, Е.И. Косаковская, Е.В. Кулешова, М.В. Москвина, О.В. Соколов, С.И. Соловьев, Е.Н.Феоктистова, О.В. Щегловская</w:t>
            </w:r>
          </w:p>
        </w:tc>
      </w:tr>
    </w:tbl>
    <w:p>
      <w:pPr>
        <w:pStyle w:val="TextBody"/>
        <w:jc w:val="center"/>
        <w:rPr/>
      </w:pPr>
      <w:r>
        <w:rPr>
          <w:rStyle w:val="StrongEmphasis"/>
        </w:rPr>
        <w:t>О корректировке региональных программ, предусматривающих дополнительные мероприятия в сфере занятости населения, направленные на снижение напряженности на рынке труда субъектов Российской Федерации</w:t>
      </w:r>
    </w:p>
    <w:p>
      <w:pPr>
        <w:pStyle w:val="TextBody"/>
        <w:rPr/>
      </w:pPr>
      <w:r>
        <w:rPr/>
        <w:t xml:space="preserve">(Кирсанов, Гривина, Авакян, Апполонова, Дусеева, Калимулина, Картошкин, Кулешова, Косаковская, Москвина, Соловьев, Соколов, Феоктистова, Щегловская) </w:t>
      </w:r>
    </w:p>
    <w:p>
      <w:pPr>
        <w:pStyle w:val="TextBody"/>
        <w:rPr/>
      </w:pPr>
      <w:r>
        <w:rPr/>
        <w:t>1. Принять к сведению информацию органов исполнительной власти Алтайского края, Забайкальского края, Чувашской Республики, Республики Башкортостан, Нижегородской, Владимирской, Свердловской, Тамбовской, Кировской, Брянской и Тульской областей о корректировке региональной программы, предусматривающей дополнительные мероприятия в сфере занятости населения, направленные на снижение напряженности на рынке труда соответствующих субъектов Российской Федерации на 2016 год.</w:t>
      </w:r>
    </w:p>
    <w:p>
      <w:pPr>
        <w:pStyle w:val="TextBody"/>
        <w:rPr/>
      </w:pPr>
      <w:r>
        <w:rPr/>
        <w:t>2. Одобрить корректировку региональных программ, указанных в пункте 1, в том числе:</w:t>
      </w:r>
    </w:p>
    <w:p>
      <w:pPr>
        <w:pStyle w:val="TextBody"/>
        <w:rPr/>
      </w:pPr>
      <w:r>
        <w:rPr>
          <w:rStyle w:val="StrongEmphasis"/>
        </w:rPr>
        <w:t>Алтайского края</w:t>
      </w:r>
      <w:r>
        <w:rPr/>
        <w:t xml:space="preserve"> – в части исключения из числа участников Программы ООО «Холод» (численность участников – 10 человек);</w:t>
      </w:r>
    </w:p>
    <w:p>
      <w:pPr>
        <w:pStyle w:val="TextBody"/>
        <w:rPr/>
      </w:pPr>
      <w:r>
        <w:rPr/>
        <w:t>включения в мероприятие «Опережающее профессиональное обучение и стажировка» ОАО «АЗА (численность участников – 6 человек), АО «Барнаульский патронный завод» (численность участников – 1 человек);</w:t>
      </w:r>
    </w:p>
    <w:p>
      <w:pPr>
        <w:pStyle w:val="TextBody"/>
        <w:rPr/>
      </w:pPr>
      <w:r>
        <w:rPr/>
        <w:t>перераспределения финансовых средств в пределах утвержденных объемов финансирования между мероприятием «Опережающее профессиональное обучение и стажировка» и мероприятием «Временная занятость работников, находящихся под риском увольнения»;</w:t>
      </w:r>
    </w:p>
    <w:p>
      <w:pPr>
        <w:pStyle w:val="TextBody"/>
        <w:rPr/>
      </w:pPr>
      <w:r>
        <w:rPr>
          <w:rStyle w:val="StrongEmphasis"/>
        </w:rPr>
        <w:t xml:space="preserve">Забайкальского края </w:t>
      </w:r>
      <w:r>
        <w:rPr/>
        <w:t>- в части исключения из числа участников Программы ОАО «Завод горного оборудования» (численность участников – 3 человека), ЗАО «Новоорловский горно-обогатительный комбинат» (численность участников – 3 человека), ООО «Дарасунский рудник» (численность участников – 3 человека), ОАО «88 Центральный авторемонтный завод» (численность участников – 15 человек), ОАО «Машзавод» (численность участников – 11 человек);</w:t>
      </w:r>
    </w:p>
    <w:p>
      <w:pPr>
        <w:pStyle w:val="TextBody"/>
        <w:rPr/>
      </w:pPr>
      <w:r>
        <w:rPr/>
        <w:t>включения в мероприятие «Опережающее профессиональное обучение и стажировка» ЗАО «Новоорловский ГОК» (численность участников – 3 человека);</w:t>
      </w:r>
    </w:p>
    <w:p>
      <w:pPr>
        <w:pStyle w:val="TextBody"/>
        <w:rPr/>
      </w:pPr>
      <w:r>
        <w:rPr>
          <w:rStyle w:val="StrongEmphasis"/>
        </w:rPr>
        <w:t xml:space="preserve">Чувашской Республики </w:t>
      </w:r>
      <w:r>
        <w:rPr/>
        <w:t>– в части исключения из числа участников Программы ЗАО «Чебоксарское предприятие «Сеспель» (численность участников – 431 человек), ООО «Яхтинг» (численность участников – 90 человек), ПАО «Электроприбор» (численность участников – 300 человек), ЗАО «ЧЭАЗ» (численность участников – 40 человек), ООО «Исследовательский центр «Бреслер» (численность участников – 26 человек), ООО «ЖБК № 1» (численность участников – 40 человек), ОАО «ВНИИР» (численность участников – 38 человек), ООО «АБС ЗЭиМ Автоматизация» (численность участников – 40 человек), ООО «ПКФ «Смак» (численность участников – 40 человек), ОАО «Электроавтомат» (численность участников – 20 человек), ДООО «СУ-8» ЗАО «Стройтрест №3» (численность участников – 20 человек), ЗАО МСО «Вурнарская» (численность участников – 30 человек), ООО «Ядринский мясокомбинат» (численность участников – 15 человек);</w:t>
      </w:r>
    </w:p>
    <w:p>
      <w:pPr>
        <w:pStyle w:val="TextBody"/>
        <w:rPr/>
      </w:pPr>
      <w:r>
        <w:rPr/>
        <w:t>включения в мероприятие «Возмещение работодателям расходов на частичную оплату труда работников» ОАО «Алатырский хлебозавод» (численность участников – 15 человек), ЗАО «Промтрактор-Вагон» (численность участников – 30 человек), ОАО «Канашский автоагрегатный завод» (численность участников – 20 человек), ООО «Дом» (численность участников – 28 человек), ООО «Борисов» (численность участников – 10 человек), НПП «Инженер» (численность участников – 6 человек), ООО «Гарант-Чебоксары» (численность участников – 2 человека), ОАО «Ипотечная корпорация Чувашской Республики» (численность участников – 3 человека), ОАО «Батыревская ИПС» (численность участников – 5 человек), ООО «Водолей» (численность участников – 3 человека), Батыревское райпо (численность участников – 6 человек), КФХ Манзуркин С.Н. (численность участников – 1 человек), ИП Манзуркина Л.В. (численность участников – 1 человек), ООО «Батыревский Общепит» (численность участников – 4 человека), ЗАО «Батыревский» (численность участников – 3 человека), ООО Агрофирма «Исток» (численность участников – 2 человека), Кафе «Пегас» (численность участников – 2 человека), СХПК «Хастар» (численность участников – 3 человека), ООО «Анна» (численность участников – 1 человек), ООО «Александр» (численность участников – 1 человек), Калининское райпо (численность участников – 4 человека), СППК «Илем» (численность участников – 2 человека), ООО «Мила плюс» (численность участников – 3 человека), ООО «Валентина» (численность участников – 2 человека), Вурнарский хлебозавод (численность участников – 1 человек), ЗАО Фирма «Август» Филиал «Вурнарский завод смесевых препаратов» (численность участников – 15 человек), ООО «Теплокомфорт» (численность участников – 15 человек), Ибресинское райпо (численность участников – 5 человек), ООО «Ибресинский хлебозавод» (численность участников – 1 человек), ИП Григорьева М.В. (численность участников – 1 человек), ООО «Центр» (численность участников – 3 человека), КФХ Семенова В.Н. (численность участников – 5 человек), ООО «Швейная фабрика» (численность участников – 4 человека), ООО «Четайское» (численность участников – 5 человек), ООО «УК «Центр» (численность участников – 9 человек), МУП «Мариинско-Посадский гвоздильный завод» (численность участников – 4 человека), ООО «Мастер» (численность участников – 4 человека), МУП БТИ «Техиндом» (численность участников – 1 человек), ООО «Стройлес» (численность участников – 6 человек), ИП Гукасян К.Н. (численность участников – 4 человека), ИП Тимофеева С.В. (численность участников – 2 человека), ООО «Многопрофильное научно-производственное предприятие «А-Керамик» (численность участников – 2 человека), ОАО «Агрохимсервис» Порецкого района (численность участников – 2 человека), МУП «Объединение предприятий жилищно-коммунального хозяйства» (численность участников – 1 человек), Урмарское АТП филиал ГУП Чувашской Республики «Чувашавтотранс» (численность участников – 8 человек), ООО «ХСН» (численность участников – 3 человека), ООО «Чебоксарский питомник декоративных растений «Ивушка» (численность участников – 9 человек), ООО «МСО «Кугесьская» (численность участников – 1 человек), Глава КФХ Хлюкин (численность участников – 2 человека), ООО «Шанс» (численность участников – 1 человек), ООО «Спутник-1» (численность участников – 2 человека), ООО «Яльчикский коопторг» (численность участников – 2 человека), КФХ Шадриков Ф.А. (численность участников – 2 человека), СХПК «Рассвет» (численность участников – 2 человека), ООО ДПМК «Яльчикская» (численность участников – 4 человека), СПСК «Молочный двор» (численность участников – 2 человека), КФХ Грачева В.Г. (численность участников – 2 человека), СХПК им. Ленина (численность участников – 1 человек), ООО «Буяново» (численность участников – 1 человек), СХПК «Чутеевский» (численность участников – 2 человека), КФХ Кузнецов А.В. (численность участников – 2 человека);</w:t>
      </w:r>
    </w:p>
    <w:p>
      <w:pPr>
        <w:pStyle w:val="TextBody"/>
        <w:rPr/>
      </w:pPr>
      <w:r>
        <w:rPr/>
        <w:t>включения в мероприятие «Временная занятость работников, находящихся под риском увольнения» ООО «Завод модельной оснастки» (численность участников – 13 человек), ОАО «Промтрактор» (численность участников – 653 человека);</w:t>
      </w:r>
    </w:p>
    <w:p>
      <w:pPr>
        <w:pStyle w:val="TextBody"/>
        <w:rPr/>
      </w:pPr>
      <w:r>
        <w:rPr/>
        <w:t>включения в мероприятие «Возмещение работодателеям затрат, связанных с трудоустройством инвалидов» СХПК «Нива», ООО «Агрофирма «Путь Ильича», ООО «Мой дом», ООО «Спутник», Манзуркин С.Н., ИП Кузьмин Н.В., КФХ Семенова В.Н., ИП Ермолаев Д.В., ИП Водолеева Г.И., КФХ Хлюкин О.А., ОАО «Ядринмолоко», К(Ф)Х Кузнецова А.Н., ООО «Алатырское УПП Темп», АО «Завод «ЭЛЕТЕХ», ИП Салахов Р.Г., ИП Анисимова Н.В., ИП Андреева И.А., ООО «Дом», ООО «Опора», ООО «Гарант-Чебоксары», КФХ Гайнутдинов М.М., ИП Артамонов Е.Н., ИП Волков И.А., ИП Васильев Н.П. с общей численностью участников 27 человек;</w:t>
      </w:r>
    </w:p>
    <w:p>
      <w:pPr>
        <w:pStyle w:val="TextBody"/>
        <w:rPr/>
      </w:pPr>
      <w:r>
        <w:rPr>
          <w:rStyle w:val="StrongEmphasis"/>
        </w:rPr>
        <w:t xml:space="preserve">Республики Башкортостан </w:t>
      </w:r>
      <w:r>
        <w:rPr/>
        <w:t>– в части</w:t>
      </w:r>
      <w:r>
        <w:rPr>
          <w:rStyle w:val="StrongEmphasis"/>
        </w:rPr>
        <w:t xml:space="preserve"> </w:t>
      </w:r>
      <w:r>
        <w:rPr/>
        <w:t>включения в мероприятие «Опережающее профессиональное обучение и стажировка» ОАО «Уфимский железобетонный завод – 2» (численность участников – 100 человек), ОАО «Стерлитамакский нефтехимический завод» (численность участников – 178 человек);</w:t>
      </w:r>
    </w:p>
    <w:p>
      <w:pPr>
        <w:pStyle w:val="TextBody"/>
        <w:rPr/>
      </w:pPr>
      <w:r>
        <w:rPr>
          <w:rStyle w:val="StrongEmphasis"/>
        </w:rPr>
        <w:t xml:space="preserve">Нижегородской области </w:t>
      </w:r>
      <w:r>
        <w:rPr/>
        <w:t>– в части включения в мероприятие «Временная занятость работников, находящихся под риском увольнения» ООО «Производственная фирма «Ока» (численность участников – 70 человек), ОАО «Медико-инструментальный завод им. В.И. Ленина» (численность участников – 148 человек), ОАО «Павловский ордена Почета завод художественных металлоизделий им. Кирова» (численность участников – 230 человек), ЗАО «Медполимер ЛТД» (численность участников – 90 человек), ООО «Саро» (численность участников – 30 человек), ООО «Завод Луч» (численность участников – 40 человек), ЗАО «Хохломская роспись» (численность участников – 400 человек), ООО «Производственная медицинская компания» (численность участников – 21 человек), ЗАО «Абабковское» (численность участников – 87 человек);</w:t>
      </w:r>
    </w:p>
    <w:p>
      <w:pPr>
        <w:pStyle w:val="TextBody"/>
        <w:rPr/>
      </w:pPr>
      <w:r>
        <w:rPr>
          <w:rStyle w:val="StrongEmphasis"/>
        </w:rPr>
        <w:t>Владимирской области</w:t>
      </w:r>
      <w:r>
        <w:rPr/>
        <w:t xml:space="preserve"> - в части включения в перечень участников Программы ООО «Марчегалия ру», ЗАО «Аби продакт», ООО «Владимирский стандарт», ООО «Валф РУС», ОАО «Завод имени В.А. Дягтерева», ООО «Беко», ООО «Меленковский консервный завод», ООО «Рекат про», ООО Крахмально-паточный завод «Новлянский», ОАО «Судогодское ремонтно-техническое предприятие», ООО «Парма», ООО «Монострой»;</w:t>
      </w:r>
    </w:p>
    <w:p>
      <w:pPr>
        <w:pStyle w:val="TextBody"/>
        <w:rPr/>
      </w:pPr>
      <w:r>
        <w:rPr/>
        <w:t>изменения численности участников мероприятия «Опережающее профессиональное обучение и стажировка» с 230 человек до 234 человек;</w:t>
      </w:r>
    </w:p>
    <w:p>
      <w:pPr>
        <w:pStyle w:val="TextBody"/>
        <w:rPr/>
      </w:pPr>
      <w:r>
        <w:rPr/>
        <w:t>изменения численности участников мероприятия «Временная занятость работников, находящихся под риском увольнения» с 1 030 человек до 1 140 человек;</w:t>
      </w:r>
    </w:p>
    <w:p>
      <w:pPr>
        <w:pStyle w:val="TextBody"/>
        <w:rPr/>
      </w:pPr>
      <w:r>
        <w:rPr/>
        <w:t>изменения общей численности участников программы с 1 539 человек до 1 653 человек;</w:t>
      </w:r>
      <w:r>
        <w:rPr>
          <w:rStyle w:val="StrongEmphasis"/>
        </w:rPr>
        <w:t xml:space="preserve"> </w:t>
      </w:r>
    </w:p>
    <w:p>
      <w:pPr>
        <w:pStyle w:val="TextBody"/>
        <w:rPr/>
      </w:pPr>
      <w:r>
        <w:rPr>
          <w:rStyle w:val="StrongEmphasis"/>
        </w:rPr>
        <w:t xml:space="preserve">Свердловской области - </w:t>
      </w:r>
      <w:r>
        <w:rPr/>
        <w:t>в части исключения из числа участников Программы ПАО «Уралхимпласт» (численность участников - 402 человека), ОАО «Тизол» (численность участников – 200 человек);</w:t>
      </w:r>
    </w:p>
    <w:p>
      <w:pPr>
        <w:pStyle w:val="TextBody"/>
        <w:rPr/>
      </w:pPr>
      <w:r>
        <w:rPr/>
        <w:t>включения в мероприятие «Опережающее профессиональное обучение и стажировка» ЗАО «Туринский целлюлозно-бумажный завод» (численность участников – 42 человека), ООО «Новолялинский целлюлозно-бумажный комбинат» (численность участников – 20 человек);</w:t>
      </w:r>
    </w:p>
    <w:p>
      <w:pPr>
        <w:pStyle w:val="TextBody"/>
        <w:rPr/>
      </w:pPr>
      <w:r>
        <w:rPr/>
        <w:t>включения в мероприятие «Возмещение работодателям расходов на частичную оплату труда работников» АО «Уральское проектно-конструкторское бюро «Деталь» (численность участников – 10 человек), АО «Научно-производственная корпорация «Уралвагонзавод» им. Ф.Э. Дзержинского» (численность участников – 80 человек);</w:t>
      </w:r>
    </w:p>
    <w:p>
      <w:pPr>
        <w:pStyle w:val="TextBody"/>
        <w:rPr/>
      </w:pPr>
      <w:r>
        <w:rPr/>
        <w:t>изменения численности участников мероприятия «Опережающее профессиональное обучение и стажировка» с 186 человек до 248 человек;</w:t>
      </w:r>
    </w:p>
    <w:p>
      <w:pPr>
        <w:pStyle w:val="TextBody"/>
        <w:rPr/>
      </w:pPr>
      <w:r>
        <w:rPr/>
        <w:t>изменения общей численности участников программы с 2 389 человек до 2 451 человека;</w:t>
      </w:r>
      <w:r>
        <w:rPr>
          <w:rStyle w:val="StrongEmphasis"/>
        </w:rPr>
        <w:t xml:space="preserve"> </w:t>
      </w:r>
    </w:p>
    <w:p>
      <w:pPr>
        <w:pStyle w:val="TextBody"/>
        <w:rPr/>
      </w:pPr>
      <w:r>
        <w:rPr>
          <w:rStyle w:val="StrongEmphasis"/>
        </w:rPr>
        <w:t xml:space="preserve">Тамбовской области </w:t>
      </w:r>
      <w:r>
        <w:rPr/>
        <w:t>– в части исключения из числа участников Программы ООО «Завод Моршанскхиммаш» (численность участников – 145 человек);</w:t>
      </w:r>
    </w:p>
    <w:p>
      <w:pPr>
        <w:pStyle w:val="TextBody"/>
        <w:rPr/>
      </w:pPr>
      <w:r>
        <w:rPr/>
        <w:t>включения в мероприятие «Возмещение работодателям затрат, связанных с трудоустройством инвалидов» ИП Климачев Р.П., ИП глава КФХ Борзова О.В., ИП Захарова И.В., ООО «Лагуна», ИП Урюпин В.Н., ИП Бобкова А.В., ИП Чктырина О.В. с общей численностью участников 7 человек;</w:t>
      </w:r>
    </w:p>
    <w:p>
      <w:pPr>
        <w:pStyle w:val="TextBody"/>
        <w:rPr/>
      </w:pPr>
      <w:r>
        <w:rPr>
          <w:rStyle w:val="StrongEmphasis"/>
        </w:rPr>
        <w:t>Кировской области</w:t>
      </w:r>
      <w:r>
        <w:rPr/>
        <w:t xml:space="preserve"> – в части исключения из числа участников мероприятия «Опережающее профессиональное обучение и стажировка» ООО «Вятка-Промжелдортранс» (численность участников – 3 человека), ЗАО «Агрокомбинат племзавод «Красногорский» (численность участников – 7 человек), АО «Север» (численность участников – 10 человек);</w:t>
      </w:r>
    </w:p>
    <w:p>
      <w:pPr>
        <w:pStyle w:val="TextBody"/>
        <w:rPr/>
      </w:pPr>
      <w:r>
        <w:rPr/>
        <w:t>включения в мероприятие «Опережающее профессиональное обучение и стажировка» ООО «ГалоПолимер Кирово-Чепецк» (численность участников – 10 человек), ООО «Кировский кирпичный завод» (численность участников – 4 человека), АО «Котельнический механический завод» (численность участников – 4 человека);</w:t>
      </w:r>
    </w:p>
    <w:p>
      <w:pPr>
        <w:pStyle w:val="TextBody"/>
        <w:rPr/>
      </w:pPr>
      <w:r>
        <w:rPr/>
        <w:t>включения в мероприятие «Временная занятость работников, находящихся под риском увольнения» ООО «Кировский кирпичный завод» (численность участников – 65 человек), АО «Котельнический механический завод» (численность участников – 30 человек);</w:t>
      </w:r>
    </w:p>
    <w:p>
      <w:pPr>
        <w:pStyle w:val="TextBody"/>
        <w:rPr/>
      </w:pPr>
      <w:r>
        <w:rPr/>
        <w:t>изменения численности участников мероприятия «Временная занятость работников, находящихся под риском увольнения» с 210 человек до 470 человек;</w:t>
      </w:r>
    </w:p>
    <w:p>
      <w:pPr>
        <w:pStyle w:val="TextBody"/>
        <w:rPr/>
      </w:pPr>
      <w:r>
        <w:rPr/>
        <w:t>изменения общей численности участников программы с 605 человек до 865 человек;</w:t>
      </w:r>
      <w:r>
        <w:rPr>
          <w:rStyle w:val="StrongEmphasis"/>
        </w:rPr>
        <w:t xml:space="preserve"> </w:t>
      </w:r>
    </w:p>
    <w:p>
      <w:pPr>
        <w:pStyle w:val="TextBody"/>
        <w:rPr/>
      </w:pPr>
      <w:r>
        <w:rPr>
          <w:rStyle w:val="StrongEmphasis"/>
        </w:rPr>
        <w:t xml:space="preserve">Брянской области </w:t>
      </w:r>
      <w:r>
        <w:rPr/>
        <w:t>– в части включения в мероприятие «Опережающее профессиональное обучение и стажировка» ООО «Брянский камвольный комбинат» (численность участников – 5 человек), ОАО «ПО «Бежицкая сталь» (численность участников – 50 человек);</w:t>
      </w:r>
    </w:p>
    <w:p>
      <w:pPr>
        <w:pStyle w:val="TextBody"/>
        <w:rPr/>
      </w:pPr>
      <w:r>
        <w:rPr/>
        <w:t>включения в мероприятие «Возмещение работодателям расходов на частичную оплату труда работников» ЗАО «Брянский арсенал» (численность участников – 8 человек), АО «Пролетарий» (численность участников – 1 человек), ОАО «ПО «Бежицкая сталь» (численность участников – 3 человека), ООО «Жуковский завод технологического оборудования» (численность участников – 1 человек);</w:t>
      </w:r>
    </w:p>
    <w:p>
      <w:pPr>
        <w:pStyle w:val="TextBody"/>
        <w:rPr/>
      </w:pPr>
      <w:r>
        <w:rPr>
          <w:rStyle w:val="StrongEmphasis"/>
        </w:rPr>
        <w:t xml:space="preserve">Тульской области – </w:t>
      </w:r>
      <w:r>
        <w:rPr/>
        <w:t>в части исключения из числа участников Программы ООО «Тулачермет-Сталь» (численность участников – 45 человек), ООО Новомосковское предприятие «Низвольт» (численность участников – 27 человек);</w:t>
      </w:r>
    </w:p>
    <w:p>
      <w:pPr>
        <w:pStyle w:val="TextBody"/>
        <w:rPr/>
      </w:pPr>
      <w:r>
        <w:rPr/>
        <w:t>включения в мероприятие «Опережающее профессиональное обучение и стажировка» и мероприятие «Возмещение работодателям расходов на частичную оплату труда работников» ОАО «Щекиназот» (численность участников – 40 и 13 человек соответственно);</w:t>
      </w:r>
    </w:p>
    <w:p>
      <w:pPr>
        <w:pStyle w:val="TextBody"/>
        <w:rPr/>
      </w:pPr>
      <w:r>
        <w:rPr/>
        <w:t>включения в мероприятие «Временная занятость работников, находящихся под риском увольнения» АО «Тяжпромарматура» (численность участников – 80 человек);</w:t>
      </w:r>
    </w:p>
    <w:p>
      <w:pPr>
        <w:pStyle w:val="TextBody"/>
        <w:rPr/>
      </w:pPr>
      <w:r>
        <w:rPr/>
        <w:t>изменения численности участников мероприятия «Опережающее профессиональное обучение и стажировка» с 25 человек до 60 человек;</w:t>
      </w:r>
    </w:p>
    <w:p>
      <w:pPr>
        <w:pStyle w:val="TextBody"/>
        <w:rPr/>
      </w:pPr>
      <w:r>
        <w:rPr/>
        <w:t>изменения численности участников мероприятия «Возмещение работодателям расходов на частичную оплату труда работников» с 90 человек до 93 человек;</w:t>
      </w:r>
    </w:p>
    <w:p>
      <w:pPr>
        <w:pStyle w:val="TextBody"/>
        <w:rPr/>
      </w:pPr>
      <w:r>
        <w:rPr/>
        <w:t>изменения численности участников мероприятия «Временная занятость работников, находящихся под риском увольнения» с 207 человек до 287 человек;</w:t>
      </w:r>
    </w:p>
    <w:p>
      <w:pPr>
        <w:pStyle w:val="TextBody"/>
        <w:rPr/>
      </w:pPr>
      <w:r>
        <w:rPr/>
        <w:t>изменения общей численности участников программы с 326 человек до 444 человек.</w:t>
      </w:r>
    </w:p>
    <w:p>
      <w:pPr>
        <w:pStyle w:val="TextBody"/>
        <w:rPr/>
      </w:pPr>
      <w:r>
        <w:rPr/>
        <w:t>3. Высшим исполнительным органам государственной власти Алтайского края, Забайкальского края, Чувашской Республики, Республики Башкортостан, Нижегородской, Владимирской, Свердловской, Тамбовской, Кировской, Брянской и Тульской областей в 2-х недельный срок принять соответствующие нормативные правовые акты по утверждению скорректированной региональной программы и представить их в Минтруд России и Роструд.</w:t>
      </w:r>
    </w:p>
    <w:p>
      <w:pPr>
        <w:pStyle w:val="TextBody"/>
        <w:rPr/>
      </w:pPr>
      <w:r>
        <w:rPr/>
        <w:t>4. Принять к сведению информацию органов исполнительной власти Республики Карелия, Ивановской, Псковской, Курганской и Кемеровской областей о корректировке региональной программы, предусматривающей дополнительные мероприятия в сфере занятости населения, направленные на снижение напряженности на рынке труда соответствующих субъектов Российской Федерации на 2016 год.</w:t>
      </w:r>
    </w:p>
    <w:p>
      <w:pPr>
        <w:pStyle w:val="TextBody"/>
        <w:rPr/>
      </w:pPr>
      <w:r>
        <w:rPr/>
        <w:t>5.</w:t>
      </w:r>
      <w:r>
        <w:rPr>
          <w:rStyle w:val="StrongEmphasis"/>
        </w:rPr>
        <w:t xml:space="preserve"> </w:t>
      </w:r>
      <w:r>
        <w:rPr/>
        <w:t>Органам исполнительной власти, указанным в пункте 4,</w:t>
      </w:r>
      <w:r>
        <w:rPr>
          <w:rStyle w:val="StrongEmphasis"/>
        </w:rPr>
        <w:t xml:space="preserve"> </w:t>
      </w:r>
      <w:r>
        <w:rPr/>
        <w:t>доработать представленную корректировку программы в соответствии с замечаниями, данными на рабочей группе, и в установленном порядке представить в Минтруд России.</w:t>
      </w:r>
    </w:p>
    <w:p>
      <w:pPr>
        <w:pStyle w:val="Heading5"/>
        <w:spacing w:before="120" w:after="60"/>
        <w:rPr/>
      </w:pPr>
      <w:r>
        <w:rPr/>
        <w:t>Председатель межведомственной</w:t>
        <w:br/>
        <w:t>рабочей группы, Первый заместитель</w:t>
        <w:br/>
        <w:t>Министра труда и социальной защиты Российской Федерации</w:t>
        <w:br/>
        <w:t>А.В. Вовченко</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