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Соглашение от 30 ноября 2016 г.</w:t>
      </w:r>
    </w:p>
    <w:p>
      <w:pPr>
        <w:pStyle w:val="Heading2"/>
        <w:rPr/>
      </w:pPr>
      <w:r>
        <w:rPr/>
        <w:t>«Дополнительное соглашение № 1 о продлении на 2017-2019 годы действия Федерального отраслевого соглашения по дорожному хозяйству на 2014-2016 годы и внесении в него изменений и дополнений»</w:t>
      </w:r>
    </w:p>
    <w:p>
      <w:pPr>
        <w:pStyle w:val="TextBody"/>
        <w:rPr/>
      </w:pPr>
      <w:r>
        <w:rPr/>
        <w:t>(Зарегистрировано в Роструде 23 декабря 2016 года, регистрационный номер 19/17-19)</w:t>
      </w:r>
    </w:p>
    <w:p>
      <w:pPr>
        <w:pStyle w:val="TextBody"/>
        <w:rPr/>
      </w:pPr>
      <w:r>
        <w:rPr/>
        <w:t>Федеральное дорожное агентство, Союз работодателей «Общероссийское отраслевое объединение работодателей в дорожном хозяйстве «АСПОР», Российская ассоциация территориальных органов управления автомобильными дорогами «РАДОР» и Общественная организация «Общероссийский профессиональный союз работников автомобильного транспорта и дорожного хозяйства», руководствуясь статьями 48 и 49 Трудового кодекса Российской Федерации и пунктом 1.4. Федерального отраслевого соглашения по дорожному хозяйству на 2014 – 2016 годы, заключили настоящее Дополнительное соглашение № 1 о следующем:</w:t>
      </w:r>
    </w:p>
    <w:p>
      <w:pPr>
        <w:pStyle w:val="TextBody"/>
        <w:rPr/>
      </w:pPr>
      <w:r>
        <w:rPr/>
        <w:t>1. Срок действия Федерального отраслевого соглашения по дорожному хозяйству на 2014 - 2016 годы продлевается на 2017-2019 годы.</w:t>
      </w:r>
    </w:p>
    <w:p>
      <w:pPr>
        <w:pStyle w:val="TextBody"/>
        <w:rPr/>
      </w:pPr>
      <w:r>
        <w:rPr/>
        <w:t>2. Внести в Федеральное отраслевое соглашение по дорожному хозяйству следующие изменения и дополнения:</w:t>
      </w:r>
    </w:p>
    <w:p>
      <w:pPr>
        <w:pStyle w:val="TextBody"/>
        <w:numPr>
          <w:ilvl w:val="0"/>
          <w:numId w:val="1"/>
        </w:numPr>
        <w:tabs>
          <w:tab w:val="left" w:pos="0" w:leader="none"/>
        </w:tabs>
        <w:spacing w:before="0" w:after="0"/>
        <w:ind w:left="707" w:hanging="283"/>
        <w:rPr/>
      </w:pPr>
      <w:r>
        <w:rPr/>
        <w:t>По тексту соглашения</w:t>
      </w:r>
      <w:r>
        <w:rPr>
          <w:rStyle w:val="StrongEmphasis"/>
        </w:rPr>
        <w:t xml:space="preserve"> </w:t>
      </w:r>
      <w:r>
        <w:rPr/>
        <w:t xml:space="preserve">слова «Общероссийский профсоюз работников автомобильного транспорта и дорожного хозяйства» заменить словами «Общественная организация «Общероссийский профессиональный союз работников автомобильного транспорта и дорожного хозяйства» в соответствующем падеже. </w:t>
      </w:r>
    </w:p>
    <w:p>
      <w:pPr>
        <w:pStyle w:val="TextBody"/>
        <w:numPr>
          <w:ilvl w:val="0"/>
          <w:numId w:val="1"/>
        </w:numPr>
        <w:tabs>
          <w:tab w:val="left" w:pos="0" w:leader="none"/>
        </w:tabs>
        <w:spacing w:before="0" w:after="0"/>
        <w:ind w:left="707" w:hanging="283"/>
        <w:rPr/>
      </w:pPr>
      <w:r>
        <w:rPr/>
        <w:t xml:space="preserve">По тексту соглашения слова «Общероссийское объединение работодателей в дорожном хозяйстве «АСПОР» заменить словами «Союз работодателей «Общероссийское отраслевое объединение работодателей в дорожном хозяйстве «АСПОР» в соответствующем падеже. </w:t>
      </w:r>
    </w:p>
    <w:p>
      <w:pPr>
        <w:pStyle w:val="TextBody"/>
        <w:numPr>
          <w:ilvl w:val="0"/>
          <w:numId w:val="1"/>
        </w:numPr>
        <w:tabs>
          <w:tab w:val="left" w:pos="0" w:leader="none"/>
        </w:tabs>
        <w:ind w:left="707" w:hanging="283"/>
        <w:rPr/>
      </w:pPr>
      <w:r>
        <w:rPr/>
        <w:t xml:space="preserve">Абзац третий пункта 2.1. изложить в следующей редакции: </w:t>
      </w:r>
    </w:p>
    <w:p>
      <w:pPr>
        <w:pStyle w:val="TextBody"/>
        <w:rPr/>
      </w:pPr>
      <w:r>
        <w:rPr/>
        <w:t>«- участвовать в создании отраслевого совета по профессиональным квалификациям по дорожному хозяйству; в проведении взаимных консультаций при разработке профессиональных стандартов; в установлении систем оплаты труда с дифференциацией размеров должностных окладов, ставок заработной платы по уровням квалификации в дорожных организациях;»</w:t>
      </w:r>
    </w:p>
    <w:p>
      <w:pPr>
        <w:pStyle w:val="TextBody"/>
        <w:numPr>
          <w:ilvl w:val="0"/>
          <w:numId w:val="2"/>
        </w:numPr>
        <w:tabs>
          <w:tab w:val="left" w:pos="0" w:leader="none"/>
        </w:tabs>
        <w:ind w:left="707" w:hanging="283"/>
        <w:rPr/>
      </w:pPr>
      <w:r>
        <w:rPr/>
        <w:t xml:space="preserve">Дополнить пункт 3.5. абзацем следующего содержания: </w:t>
      </w:r>
    </w:p>
    <w:p>
      <w:pPr>
        <w:pStyle w:val="TextBody"/>
        <w:rPr/>
      </w:pPr>
      <w:r>
        <w:rPr/>
        <w:t>«Для работников государственных и муниципальных учреждений, осуществляющих обеспечение деятельности дорожного хозяйства субъектов Российской Федерации и муниципальных образований, системы оплаты труда устанавливаются с учётом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pPr>
        <w:pStyle w:val="TextBody"/>
        <w:numPr>
          <w:ilvl w:val="0"/>
          <w:numId w:val="3"/>
        </w:numPr>
        <w:tabs>
          <w:tab w:val="left" w:pos="0" w:leader="none"/>
        </w:tabs>
        <w:ind w:left="707" w:hanging="283"/>
        <w:rPr/>
      </w:pPr>
      <w:r>
        <w:rPr/>
        <w:t xml:space="preserve">Абзац седьмой пункта 3.6. изложить в следующей редакции: </w:t>
      </w:r>
    </w:p>
    <w:p>
      <w:pPr>
        <w:pStyle w:val="TextBody"/>
        <w:rPr/>
      </w:pPr>
      <w:r>
        <w:rPr/>
        <w:t>«- оплата труда работников, занятых на работах с вредными и (или) опасными условиями труда в повышенном размере по сравнению с тарифными ставками, окладами, установленными для различных видов работ с тарифными ставками, окладами, установленными для различных видов работ с нормальными условиями труда. Конкретные размеры повышения оплаты труда работников, занятых на работах с вредными и (или) опасными условиями труда, устанавливаются по действующим результатам аттестации рабочих мест или специальной оценки условий труда на рабочих местах и начисляются за время фактической занятости работников на таких рабочих местах.».</w:t>
      </w:r>
    </w:p>
    <w:p>
      <w:pPr>
        <w:pStyle w:val="TextBody"/>
        <w:numPr>
          <w:ilvl w:val="0"/>
          <w:numId w:val="4"/>
        </w:numPr>
        <w:tabs>
          <w:tab w:val="left" w:pos="0" w:leader="none"/>
        </w:tabs>
        <w:spacing w:before="0" w:after="0"/>
        <w:ind w:left="707" w:hanging="283"/>
        <w:rPr/>
      </w:pPr>
      <w:r>
        <w:rPr/>
        <w:t xml:space="preserve">Абзац восьмой пункта 3.6. исключить. </w:t>
      </w:r>
    </w:p>
    <w:p>
      <w:pPr>
        <w:pStyle w:val="TextBody"/>
        <w:numPr>
          <w:ilvl w:val="0"/>
          <w:numId w:val="4"/>
        </w:numPr>
        <w:tabs>
          <w:tab w:val="left" w:pos="0" w:leader="none"/>
        </w:tabs>
        <w:ind w:left="707" w:hanging="283"/>
        <w:rPr/>
      </w:pPr>
      <w:r>
        <w:rPr/>
        <w:t xml:space="preserve">Абзац двадцать второй пункта 3.6. изложить в следующей редакции: </w:t>
      </w:r>
    </w:p>
    <w:p>
      <w:pPr>
        <w:pStyle w:val="TextBody"/>
        <w:rPr/>
      </w:pPr>
      <w:r>
        <w:rPr/>
        <w:t>«- выплата заработной платы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не позднее 15 календарных дней со дня окончания периода, за который она начислена.</w:t>
      </w:r>
    </w:p>
    <w:p>
      <w:pPr>
        <w:pStyle w:val="TextBody"/>
        <w:rPr/>
      </w:pPr>
      <w:r>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pPr>
        <w:pStyle w:val="TextBody"/>
        <w:numPr>
          <w:ilvl w:val="0"/>
          <w:numId w:val="5"/>
        </w:numPr>
        <w:tabs>
          <w:tab w:val="left" w:pos="0" w:leader="none"/>
        </w:tabs>
        <w:ind w:left="707" w:hanging="283"/>
        <w:rPr/>
      </w:pPr>
      <w:r>
        <w:rPr/>
        <w:t xml:space="preserve">В абзаце двадцать третьем пункта 3.6. слова «одной трёхсотой» заменить словами «одной сто пятидесятой». </w:t>
      </w:r>
    </w:p>
    <w:p>
      <w:pPr>
        <w:pStyle w:val="TextBody"/>
        <w:rPr/>
      </w:pPr>
      <w:r>
        <w:rPr/>
        <w:t>Дополнить абзац словами: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pPr>
        <w:pStyle w:val="TextBody"/>
        <w:numPr>
          <w:ilvl w:val="0"/>
          <w:numId w:val="6"/>
        </w:numPr>
        <w:tabs>
          <w:tab w:val="left" w:pos="0" w:leader="none"/>
        </w:tabs>
        <w:spacing w:before="0" w:after="0"/>
        <w:ind w:left="707" w:hanging="283"/>
        <w:rPr/>
      </w:pPr>
      <w:r>
        <w:rPr/>
        <w:t xml:space="preserve">В абзаце двадцать четвёртом пункта 3.6. изменить дату «1 января 2014 года» на дату « 1 января 2017 года». </w:t>
      </w:r>
    </w:p>
    <w:p>
      <w:pPr>
        <w:pStyle w:val="TextBody"/>
        <w:numPr>
          <w:ilvl w:val="0"/>
          <w:numId w:val="6"/>
        </w:numPr>
        <w:tabs>
          <w:tab w:val="left" w:pos="0" w:leader="none"/>
        </w:tabs>
        <w:ind w:left="707" w:hanging="283"/>
        <w:rPr/>
      </w:pPr>
      <w:r>
        <w:rPr/>
        <w:t xml:space="preserve">В абзаце двадцать пятом пункта 3.6. после слов «квалификационных разрядов» дополнить словами «(квалификационных уровней)». </w:t>
      </w:r>
    </w:p>
    <w:p>
      <w:pPr>
        <w:pStyle w:val="TextBody"/>
        <w:rPr/>
      </w:pPr>
      <w:r>
        <w:rPr/>
        <w:t>Дополнить абзац следующими словами: «а также в соответствии с профессиональными стандартами, применяемыми на предприятии, приказом Министерства транспорта Российской Федерации от 28 сентября 2015 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pPr>
        <w:pStyle w:val="TextBody"/>
        <w:numPr>
          <w:ilvl w:val="0"/>
          <w:numId w:val="7"/>
        </w:numPr>
        <w:tabs>
          <w:tab w:val="left" w:pos="0" w:leader="none"/>
        </w:tabs>
        <w:ind w:left="707" w:hanging="283"/>
        <w:rPr/>
      </w:pPr>
      <w:r>
        <w:rPr/>
        <w:t xml:space="preserve">Абзац двадцать седьмой пункта 3.6. исключить. </w:t>
      </w:r>
    </w:p>
    <w:p>
      <w:pPr>
        <w:pStyle w:val="TextBody"/>
        <w:rPr/>
      </w:pPr>
      <w:r>
        <w:rPr/>
        <w:t>В пункте 3.8. исключить слова: «…, который является неотъемлемой частью настоящего Соглашения».</w:t>
      </w:r>
    </w:p>
    <w:p>
      <w:pPr>
        <w:pStyle w:val="TextBody"/>
        <w:numPr>
          <w:ilvl w:val="0"/>
          <w:numId w:val="8"/>
        </w:numPr>
        <w:tabs>
          <w:tab w:val="left" w:pos="0" w:leader="none"/>
        </w:tabs>
        <w:spacing w:before="0" w:after="0"/>
        <w:ind w:left="707" w:hanging="283"/>
        <w:rPr/>
      </w:pPr>
      <w:r>
        <w:rPr/>
        <w:t xml:space="preserve">Абзац пятый пункта 4.2. исключить. </w:t>
      </w:r>
    </w:p>
    <w:p>
      <w:pPr>
        <w:pStyle w:val="TextBody"/>
        <w:numPr>
          <w:ilvl w:val="0"/>
          <w:numId w:val="8"/>
        </w:numPr>
        <w:tabs>
          <w:tab w:val="left" w:pos="0" w:leader="none"/>
        </w:tabs>
        <w:spacing w:before="0" w:after="0"/>
        <w:ind w:left="707" w:hanging="283"/>
        <w:rPr/>
      </w:pPr>
      <w:r>
        <w:rPr/>
        <w:t xml:space="preserve">В абзаце восьмом пункта 4.2. слово «тяжёлыми» заменить словами: «…(или) опасными». </w:t>
      </w:r>
    </w:p>
    <w:p>
      <w:pPr>
        <w:pStyle w:val="TextBody"/>
        <w:numPr>
          <w:ilvl w:val="0"/>
          <w:numId w:val="8"/>
        </w:numPr>
        <w:tabs>
          <w:tab w:val="left" w:pos="0" w:leader="none"/>
        </w:tabs>
        <w:ind w:left="707" w:hanging="283"/>
        <w:rPr/>
      </w:pPr>
      <w:r>
        <w:rPr/>
        <w:t xml:space="preserve">Абзац шестой пункта 4.3. изложить в следующей редакции: </w:t>
      </w:r>
    </w:p>
    <w:p>
      <w:pPr>
        <w:pStyle w:val="TextBody"/>
        <w:rPr/>
      </w:pPr>
      <w:r>
        <w:rPr>
          <w:rStyle w:val="StrongEmphasis"/>
        </w:rPr>
        <w:t>«</w:t>
      </w:r>
      <w:r>
        <w:rPr/>
        <w:t>- организовать обучение работников безопасным методам и приемам выполнения работ, своевременно проводить соответствующие инструктажи, проверку знаний в соответствии с действующим законодательством по охране труда;».</w:t>
      </w:r>
    </w:p>
    <w:p>
      <w:pPr>
        <w:pStyle w:val="TextBody"/>
        <w:numPr>
          <w:ilvl w:val="0"/>
          <w:numId w:val="9"/>
        </w:numPr>
        <w:tabs>
          <w:tab w:val="left" w:pos="0" w:leader="none"/>
        </w:tabs>
        <w:ind w:left="707" w:hanging="283"/>
        <w:rPr/>
      </w:pPr>
      <w:r>
        <w:rPr/>
        <w:t xml:space="preserve">Абзац седьмой пункта 4.3. изложить в следующей редакции: </w:t>
      </w:r>
    </w:p>
    <w:p>
      <w:pPr>
        <w:pStyle w:val="TextBody"/>
        <w:rPr/>
      </w:pPr>
      <w:r>
        <w:rPr/>
        <w:t>«- обеспечивать работников санитарно-бытовыми условиями согласно «СП 44.13330.2011. Свод правил. Административные и бытовые здания. Актуализированная редакция СНиП 2.09.04-87», утвержденный приказом Минрегиона России от 27 декабря 2010 г. № 782, душевыми, гардеробными и другими помещениями; средствами индивидуальной защиты в соответствии с приказом Минтруда России от 9 декабря 2014г.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приказом Минздравсоцразвития России от 20 апреля 2006г. № 297 «Об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 и с учетом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1 июня 2009г. № 290н, и в соответствии с коллективными договорами;».</w:t>
      </w:r>
    </w:p>
    <w:p>
      <w:pPr>
        <w:pStyle w:val="TextBody"/>
        <w:numPr>
          <w:ilvl w:val="0"/>
          <w:numId w:val="10"/>
        </w:numPr>
        <w:tabs>
          <w:tab w:val="left" w:pos="0" w:leader="none"/>
        </w:tabs>
        <w:ind w:left="707" w:hanging="283"/>
        <w:rPr/>
      </w:pPr>
      <w:r>
        <w:rPr/>
        <w:t xml:space="preserve">Абзац девятый пункта 4.3. изложить в следующей редакции: </w:t>
      </w:r>
    </w:p>
    <w:p>
      <w:pPr>
        <w:pStyle w:val="TextBody"/>
        <w:jc w:val="left"/>
        <w:rPr/>
      </w:pPr>
      <w:r>
        <w:rPr>
          <w:rStyle w:val="StrongEmphasis"/>
        </w:rPr>
        <w:t>«</w:t>
      </w:r>
      <w:r>
        <w:rPr/>
        <w:t>- в соответствии с Федеральным законом от 28 декабря 2013г. № 426-ФЗ «О специальной оценке условий труда» проводить не реже 1 раза в 5 лет специальную оценку условий труда согласно приказу Минтруда России от 24 января 2014г.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 состав комиссии для организации и проведения специальной оценки условий труда включаются представители выборного органа первичной профсоюзной организации.</w:t>
      </w:r>
    </w:p>
    <w:p>
      <w:pPr>
        <w:pStyle w:val="TextBody"/>
        <w:rPr/>
      </w:pPr>
      <w:r>
        <w:rPr/>
        <w:t>При наличии мотивированных предложений выборных органов первичных профсоюзных организаций проводят внеплановую специальную оценку условий труда.».</w:t>
      </w:r>
    </w:p>
    <w:p>
      <w:pPr>
        <w:pStyle w:val="TextBody"/>
        <w:numPr>
          <w:ilvl w:val="0"/>
          <w:numId w:val="11"/>
        </w:numPr>
        <w:tabs>
          <w:tab w:val="left" w:pos="0" w:leader="none"/>
        </w:tabs>
        <w:spacing w:before="0" w:after="0"/>
        <w:ind w:left="707" w:hanging="283"/>
        <w:rPr/>
      </w:pPr>
      <w:r>
        <w:rPr/>
        <w:t xml:space="preserve">Абзац десятый пункта 4.3. исключить. </w:t>
      </w:r>
    </w:p>
    <w:p>
      <w:pPr>
        <w:pStyle w:val="TextBody"/>
        <w:numPr>
          <w:ilvl w:val="0"/>
          <w:numId w:val="11"/>
        </w:numPr>
        <w:tabs>
          <w:tab w:val="left" w:pos="0" w:leader="none"/>
        </w:tabs>
        <w:ind w:left="707" w:hanging="283"/>
        <w:rPr/>
      </w:pPr>
      <w:r>
        <w:rPr/>
        <w:t xml:space="preserve">Абзац одиннадцатый пункта 4.3. изложить в следующей редакции: </w:t>
      </w:r>
    </w:p>
    <w:p>
      <w:pPr>
        <w:pStyle w:val="TextBody"/>
        <w:rPr/>
      </w:pPr>
      <w:r>
        <w:rPr>
          <w:rStyle w:val="StrongEmphasis"/>
        </w:rPr>
        <w:t>«</w:t>
      </w:r>
      <w:r>
        <w:rPr/>
        <w:t>- предоставлять льготы и компенсации работникам, занятым на работах во вредных и (или) опасных условиях труда, чьи рабочие места признаны таковыми по действующим результатам аттестации или специальной оценки условий труда, в соответствии с законодательством Российской Федерации и иными нормативными правовыми актами.</w:t>
      </w:r>
    </w:p>
    <w:p>
      <w:pPr>
        <w:pStyle w:val="TextBody"/>
        <w:rPr/>
      </w:pPr>
      <w:r>
        <w:rPr/>
        <w:t>При реализации в соответствии с положениями Трудового кодекса Российской Федерации (в редакции Федерального закона от 28 декабря 2013г.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2013г. № 421-ФЗ (1 января 2014г.) при условии сохранения соответствующих условий труда на рабочем месте, явившихся основанием для назначения реализуемых компенсационных мер».</w:t>
      </w:r>
    </w:p>
    <w:p>
      <w:pPr>
        <w:pStyle w:val="TextBody"/>
        <w:numPr>
          <w:ilvl w:val="0"/>
          <w:numId w:val="12"/>
        </w:numPr>
        <w:tabs>
          <w:tab w:val="left" w:pos="0" w:leader="none"/>
        </w:tabs>
        <w:ind w:left="707" w:hanging="283"/>
        <w:rPr/>
      </w:pPr>
      <w:r>
        <w:rPr/>
        <w:t xml:space="preserve">Абзац двенадцатый пункта 4.3. дополнить словами: </w:t>
      </w:r>
    </w:p>
    <w:p>
      <w:pPr>
        <w:pStyle w:val="TextBody"/>
        <w:rPr/>
      </w:pPr>
      <w:r>
        <w:rPr/>
        <w:t>«проводить обязательные предсменные, предрейсовые и послесменные, послерейсовые медицинские осмотры работников в соответствии с приказом Минздрава России от 15 декабря 2014г. № 835н «Об утверждении Порядка проведения предсменных, предрейсовых и послесменных, послерейсовых медицинских осмотров».</w:t>
      </w:r>
    </w:p>
    <w:p>
      <w:pPr>
        <w:pStyle w:val="TextBody"/>
        <w:numPr>
          <w:ilvl w:val="0"/>
          <w:numId w:val="13"/>
        </w:numPr>
        <w:tabs>
          <w:tab w:val="left" w:pos="0" w:leader="none"/>
        </w:tabs>
        <w:ind w:left="707" w:hanging="283"/>
        <w:rPr/>
      </w:pPr>
      <w:r>
        <w:rPr/>
        <w:t xml:space="preserve">Дополнить пункт 7.2. абзацами следующего содержания: </w:t>
      </w:r>
    </w:p>
    <w:p>
      <w:pPr>
        <w:pStyle w:val="TextBody"/>
        <w:rPr/>
      </w:pPr>
      <w:r>
        <w:rPr/>
        <w:t>« - организуется подготовка работников и дополнительное профессиональное образование в связи с принятием профессионального стандарта, при внедрении новой техники, технологий, проведения организационных мероприятий на условиях и в порядке, которые определяются законодательством Российской Федерации, а также коллективным договором, соглашениями, трудовым договором; работодатель не вправе требовать от работников предприятия прохождения независимой оценки квалификации за счёт работников;</w:t>
      </w:r>
    </w:p>
    <w:p>
      <w:pPr>
        <w:pStyle w:val="TextBody"/>
        <w:rPr/>
      </w:pPr>
      <w:r>
        <w:rPr/>
        <w:t>- при прохождении оценки квалификации на соответствие профессиональным стандартам, а также на соответствие профессиональным и квалификационным требованиям, установленным приказом Министерства транспорта Российской Федерации от 28 сентября 2015г.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по направлению работодателя с отрывом от работы, за работником сохраняется место работы и средняя заработная плата, а также производится оплата командировочных расходов».</w:t>
      </w:r>
    </w:p>
    <w:p>
      <w:pPr>
        <w:pStyle w:val="TextBody"/>
        <w:numPr>
          <w:ilvl w:val="0"/>
          <w:numId w:val="14"/>
        </w:numPr>
        <w:tabs>
          <w:tab w:val="left" w:pos="0" w:leader="none"/>
        </w:tabs>
        <w:ind w:left="707" w:hanging="283"/>
        <w:rPr/>
      </w:pPr>
      <w:r>
        <w:rPr/>
        <w:t xml:space="preserve">Абзац первый пункта 8.4. изложить в следующей редакции: </w:t>
      </w:r>
    </w:p>
    <w:p>
      <w:pPr>
        <w:pStyle w:val="TextBody"/>
        <w:rPr/>
      </w:pPr>
      <w:r>
        <w:rPr/>
        <w:t>«Работодатели будут неукоснительно соблюдать требования Федерального закона от 18 июля 2006г. № 109-ФЗ «О миграционном учёте иностранных граждан и лиц без гражданства в Российской Федерации», постановление Правительства Российской Федерации от 15 января 2007г. № 9 «О порядке осуществления миграционного учёта иностранных граждан и лиц без гражданства в Российской Федерации».</w:t>
      </w:r>
    </w:p>
    <w:p>
      <w:pPr>
        <w:pStyle w:val="TextBody"/>
        <w:numPr>
          <w:ilvl w:val="0"/>
          <w:numId w:val="15"/>
        </w:numPr>
        <w:tabs>
          <w:tab w:val="left" w:pos="0" w:leader="none"/>
        </w:tabs>
        <w:ind w:left="707" w:hanging="283"/>
        <w:rPr/>
      </w:pPr>
      <w:r>
        <w:rPr/>
        <w:t xml:space="preserve">Раздел XI озаглавить: </w:t>
      </w:r>
    </w:p>
    <w:p>
      <w:pPr>
        <w:pStyle w:val="TextBody"/>
        <w:rPr/>
      </w:pPr>
      <w:r>
        <w:rPr>
          <w:rStyle w:val="StrongEmphasis"/>
        </w:rPr>
        <w:t>«XI. ПЕНСИОННОЕ, СОЦИАЛЬНОЕ, МЕДИЦИНСКОЕ СТРАХОВАНИЕ РАБОТНИКОВ»</w:t>
      </w:r>
    </w:p>
    <w:p>
      <w:pPr>
        <w:pStyle w:val="TextBody"/>
        <w:numPr>
          <w:ilvl w:val="0"/>
          <w:numId w:val="16"/>
        </w:numPr>
        <w:tabs>
          <w:tab w:val="left" w:pos="0" w:leader="none"/>
        </w:tabs>
        <w:ind w:left="707" w:hanging="283"/>
        <w:rPr/>
      </w:pPr>
      <w:r>
        <w:rPr/>
        <w:t xml:space="preserve">Абзац второй пункта 11.1. изложить в следующей редакции: </w:t>
      </w:r>
    </w:p>
    <w:p>
      <w:pPr>
        <w:pStyle w:val="TextBody"/>
        <w:rPr/>
      </w:pPr>
      <w:r>
        <w:rPr/>
        <w:t>«- производить уплату сумм платежей по страховым взносам на обязательное пенсионное, социальное и медицинское страхование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на счета работников, но не позднее 15 числа месяца, следующего за месяцем, за который начислены страховые взносы;».</w:t>
      </w:r>
    </w:p>
    <w:p>
      <w:pPr>
        <w:pStyle w:val="TextBody"/>
        <w:numPr>
          <w:ilvl w:val="0"/>
          <w:numId w:val="17"/>
        </w:numPr>
        <w:tabs>
          <w:tab w:val="left" w:pos="0" w:leader="none"/>
        </w:tabs>
        <w:ind w:left="707" w:hanging="283"/>
        <w:rPr/>
      </w:pPr>
      <w:r>
        <w:rPr/>
        <w:t xml:space="preserve">Пункт 11.2. изложить в следующей редакции: </w:t>
      </w:r>
    </w:p>
    <w:p>
      <w:pPr>
        <w:pStyle w:val="TextBody"/>
        <w:rPr/>
      </w:pPr>
      <w:r>
        <w:rPr/>
        <w:t>«Работодатели одновременно с выдачей заработной платы перечисляют за работников, чьи рабочие места по действующим результатам аттестации или специальной оценки условий труда признаны вредными (особо вредными) и (или) опасными, дополнительный тариф страховых взносов на финансирование страховой части трудовой пенсии в соответствии с действующим законодательством.».</w:t>
      </w:r>
    </w:p>
    <w:p>
      <w:pPr>
        <w:pStyle w:val="TextBody"/>
        <w:rPr/>
      </w:pPr>
      <w:r>
        <w:rPr/>
        <w:t>Состав отраслевой комиссии по подготовке, заключению и контролю за ходом выполнения Федерального отраслевого соглашения по дорожному хозяйству изложить в редакции согласно приложению к настоящему Дополнительному соглашению № 1</w:t>
      </w:r>
      <w:r>
        <w:rPr>
          <w:i/>
        </w:rPr>
        <w:t>.</w:t>
      </w:r>
    </w:p>
    <w:p>
      <w:pPr>
        <w:pStyle w:val="TextBody"/>
        <w:rPr/>
      </w:pPr>
      <w:r>
        <w:rPr/>
        <w:t>3. Изменения и дополнения в Федеральное отраслевое соглашение по дорожному хозяйству на 2014 – 2016 годы, принятые настоящим Дополнительным соглашением № 1, вводятся в действие с 1 января 2017 года.</w:t>
      </w:r>
    </w:p>
    <w:p>
      <w:pPr>
        <w:pStyle w:val="TextBody"/>
        <w:rPr/>
      </w:pPr>
      <w:r>
        <w:rPr/>
        <w:t xml:space="preserve">4. В течение семи дней со дня подписания настоящего Дополнительного соглашения № 1 сторона работодателей представляет в Федеральную службу по труду и занятости данное соглашение для уведомительной регистрации. </w:t>
      </w:r>
    </w:p>
    <w:p>
      <w:pPr>
        <w:pStyle w:val="Heading5"/>
        <w:rPr/>
      </w:pPr>
      <w:r>
        <w:rPr/>
        <w:t>Председатель</w:t>
      </w:r>
    </w:p>
    <w:p>
      <w:pPr>
        <w:pStyle w:val="Heading5"/>
        <w:rPr/>
      </w:pPr>
      <w:r>
        <w:rPr/>
        <w:t>Общественной организации</w:t>
      </w:r>
    </w:p>
    <w:p>
      <w:pPr>
        <w:pStyle w:val="Heading5"/>
        <w:rPr/>
      </w:pPr>
      <w:r>
        <w:rPr/>
        <w:t>«Общероссийский профессиональный союз</w:t>
      </w:r>
    </w:p>
    <w:p>
      <w:pPr>
        <w:pStyle w:val="Heading5"/>
        <w:rPr/>
      </w:pPr>
      <w:r>
        <w:rPr/>
        <w:t>работников автомобильного транспорта</w:t>
      </w:r>
    </w:p>
    <w:p>
      <w:pPr>
        <w:pStyle w:val="Heading5"/>
        <w:rPr/>
      </w:pPr>
      <w:r>
        <w:rPr/>
        <w:t>и дорожного хозяйства»</w:t>
      </w:r>
    </w:p>
    <w:p>
      <w:pPr>
        <w:pStyle w:val="Heading5"/>
        <w:rPr/>
      </w:pPr>
      <w:r>
        <w:rPr/>
        <w:t>В.В. Ломакин</w:t>
      </w:r>
    </w:p>
    <w:p>
      <w:pPr>
        <w:pStyle w:val="Heading5"/>
        <w:rPr/>
      </w:pPr>
      <w:r>
        <w:rPr/>
        <w:t>Руководитель</w:t>
      </w:r>
    </w:p>
    <w:p>
      <w:pPr>
        <w:pStyle w:val="Heading5"/>
        <w:rPr/>
      </w:pPr>
      <w:r>
        <w:rPr/>
        <w:t>Федерального дорожного агентства</w:t>
      </w:r>
    </w:p>
    <w:p>
      <w:pPr>
        <w:pStyle w:val="Heading5"/>
        <w:rPr/>
      </w:pPr>
      <w:r>
        <w:rPr/>
        <w:t>Р.В. Старовойт</w:t>
      </w:r>
    </w:p>
    <w:p>
      <w:pPr>
        <w:pStyle w:val="Heading5"/>
        <w:rPr/>
      </w:pPr>
      <w:r>
        <w:rPr/>
        <w:t>Президент</w:t>
      </w:r>
    </w:p>
    <w:p>
      <w:pPr>
        <w:pStyle w:val="Heading5"/>
        <w:rPr/>
      </w:pPr>
      <w:r>
        <w:rPr/>
        <w:t>Союза работодателей</w:t>
      </w:r>
    </w:p>
    <w:p>
      <w:pPr>
        <w:pStyle w:val="Heading5"/>
        <w:rPr/>
      </w:pPr>
      <w:r>
        <w:rPr/>
        <w:t>«Общероссийское отраслевое объединение</w:t>
      </w:r>
    </w:p>
    <w:p>
      <w:pPr>
        <w:pStyle w:val="Heading5"/>
        <w:rPr/>
      </w:pPr>
      <w:r>
        <w:rPr/>
        <w:t>работодателей в дорожном хозяйстве «АСПОР»</w:t>
      </w:r>
    </w:p>
    <w:p>
      <w:pPr>
        <w:pStyle w:val="Heading5"/>
        <w:rPr/>
      </w:pPr>
      <w:r>
        <w:rPr/>
        <w:t>А.С. Малов</w:t>
      </w:r>
    </w:p>
    <w:p>
      <w:pPr>
        <w:pStyle w:val="Heading5"/>
        <w:rPr/>
      </w:pPr>
      <w:r>
        <w:rPr/>
        <w:t>Генеральный директор</w:t>
      </w:r>
    </w:p>
    <w:p>
      <w:pPr>
        <w:pStyle w:val="Heading5"/>
        <w:rPr/>
      </w:pPr>
      <w:r>
        <w:rPr/>
        <w:t>Российской ассоциации</w:t>
      </w:r>
    </w:p>
    <w:p>
      <w:pPr>
        <w:pStyle w:val="Heading5"/>
        <w:rPr/>
      </w:pPr>
      <w:r>
        <w:rPr/>
        <w:t>территориальных органов управления</w:t>
      </w:r>
    </w:p>
    <w:p>
      <w:pPr>
        <w:pStyle w:val="Heading5"/>
        <w:rPr/>
      </w:pPr>
      <w:r>
        <w:rPr/>
        <w:t>автомобильными дорогами «РАДОР»</w:t>
      </w:r>
    </w:p>
    <w:p>
      <w:pPr>
        <w:pStyle w:val="Heading5"/>
        <w:spacing w:before="120" w:after="60"/>
        <w:rPr/>
      </w:pPr>
      <w:r>
        <w:rPr/>
        <w:t>И.И. Старыгин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