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29 декабря 2016 г.</w:t>
      </w:r>
    </w:p>
    <w:p>
      <w:pPr>
        <w:pStyle w:val="Heading2"/>
        <w:spacing w:before="200" w:after="120"/>
        <w:rPr/>
      </w:pPr>
      <w:r>
        <w:rPr/>
        <w:t>«Методические рекомендации о проведении мониторинга потребностей семей, имеющих в своем составе детей с ограниченными возможностями здоровья, детей-инвалидов и взрослых с инвалидностью, в предоставлении услуг в сфере социальной защиты, здравоохранения, образования и занятости»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