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Информационное письмо от 30 июня 2017 г.</w:t>
      </w:r>
    </w:p>
    <w:p>
      <w:pPr>
        <w:pStyle w:val="Heading2"/>
        <w:spacing w:before="200" w:after="120"/>
        <w:rPr/>
      </w:pPr>
      <w:r>
        <w:rPr/>
        <w:t>«Информационное письмо Минобрнауки России № ВК-249/07 от 1 февраля 2017 г.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