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№309н от 11 октября 2012 г.</w:t>
      </w:r>
    </w:p>
    <w:p>
      <w:pPr>
        <w:pStyle w:val="Heading2"/>
        <w:rPr/>
      </w:pPr>
      <w:r>
        <w:rPr/>
        <w:t>«Об утверждении Положения о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</w:p>
    <w:p>
      <w:pPr>
        <w:pStyle w:val="TextBody"/>
        <w:rPr/>
      </w:pPr>
      <w:r>
        <w:rPr>
          <w:rStyle w:val="Emphasis"/>
        </w:rPr>
        <w:t>(в ред. Приказа Минтруда России от 03.06.2013 N 236н)</w:t>
      </w:r>
      <w:r>
        <w:rPr/>
        <w:t xml:space="preserve"> </w:t>
      </w:r>
    </w:p>
    <w:p>
      <w:pPr>
        <w:pStyle w:val="TextBody"/>
        <w:rPr/>
      </w:pPr>
      <w:r>
        <w:rPr/>
        <w:t>В соответствии с Федеральным законом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6730), Федеральным законом от 25 декабря 2008 г. N 273-ФЗ "О противодействии коррупции" (Собрание законодательства Российской Федерации, 2008, N 52, ст. 6228; 2011, N 29, ст. 4291; N 48, ст. 6730),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Положение о Комиссии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согласно приложению.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