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2012 год</w:t>
      </w:r>
    </w:p>
    <w:p>
      <w:pPr>
        <w:pStyle w:val="Heading2"/>
        <w:rPr/>
      </w:pPr>
      <w:r>
        <w:rPr/>
        <w:t>«Международное сотрудничество в 2012 г.»</w:t>
      </w:r>
    </w:p>
    <w:p>
      <w:pPr>
        <w:pStyle w:val="Heading2"/>
        <w:rPr/>
      </w:pPr>
      <w:r>
        <w:rPr/>
        <w:t>«Международное сотрудничество в 2012 г.»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 системы ООН:</w:t>
      </w:r>
    </w:p>
    <w:p>
      <w:pPr>
        <w:pStyle w:val="TextBody"/>
        <w:rPr/>
      </w:pPr>
      <w:r>
        <w:rPr/>
        <w:t xml:space="preserve">На Министерство возложены головные функции по сотрудничеству с такими организациями системы </w:t>
      </w:r>
      <w:hyperlink r:id="rId2">
        <w:r>
          <w:rPr>
            <w:rStyle w:val="InternetLink"/>
          </w:rPr>
          <w:t>ООН</w:t>
        </w:r>
      </w:hyperlink>
      <w:r>
        <w:rPr/>
        <w:t xml:space="preserve"> как: </w:t>
      </w:r>
      <w:hyperlink r:id="rId3">
        <w:r>
          <w:rPr>
            <w:rStyle w:val="InternetLink"/>
          </w:rPr>
          <w:t>МОТ</w:t>
        </w:r>
      </w:hyperlink>
      <w:r>
        <w:rPr/>
        <w:t xml:space="preserve">, </w:t>
      </w:r>
      <w:hyperlink r:id="rId4">
        <w:r>
          <w:rPr>
            <w:rStyle w:val="InternetLink"/>
          </w:rPr>
          <w:t>МАСО</w:t>
        </w:r>
      </w:hyperlink>
      <w:r>
        <w:rPr/>
        <w:t xml:space="preserve">, </w:t>
      </w:r>
      <w:hyperlink r:id="rId5">
        <w:r>
          <w:rPr>
            <w:rStyle w:val="InternetLink"/>
          </w:rPr>
          <w:t>ЮНИСЕФ</w:t>
        </w:r>
      </w:hyperlink>
      <w:r>
        <w:rPr/>
        <w:t xml:space="preserve">, </w:t>
      </w:r>
      <w:hyperlink r:id="rId6">
        <w:r>
          <w:rPr>
            <w:rStyle w:val="InternetLink"/>
          </w:rPr>
          <w:t>ЮНФПА</w:t>
        </w:r>
      </w:hyperlink>
      <w:r>
        <w:rPr/>
        <w:t>.</w:t>
      </w:r>
    </w:p>
    <w:p>
      <w:pPr>
        <w:pStyle w:val="TextBody"/>
        <w:rPr/>
      </w:pPr>
      <w:r>
        <w:rPr/>
        <w:t xml:space="preserve">По линии </w:t>
      </w:r>
      <w:hyperlink r:id="rId7">
        <w:r>
          <w:rPr>
            <w:rStyle w:val="InternetLink"/>
          </w:rPr>
          <w:t>МОТ</w:t>
        </w:r>
      </w:hyperlink>
      <w:r>
        <w:rPr/>
        <w:t>(совместно с Субрегиональным Бюро МОТ в Москве):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и направление в Международное бюро труда регулярных докладов по применению в России ратифицированных конвенций МОТ,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представление Международное бюро труда информации по нератифицированным конвенциям, а также информации в рамках механизма реализации Декларации МОТ об основополагающих принципах и правах в сфере труда и по запросам Комитета экспертов по применению конвенций и рекомендаций;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анализ возможности ратификации конвенций международных организаций в рамках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2011 - 2013 годы;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и подписание Соглашения о сотрудничестве между Российской Федерацией и МОТ на очередной период;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проведение межведомственных заседаний с участием социальных партнеров по сопоставлению положений конвенций, российского законодательства и нормативной базы, выработке предложений о внесении соответствующих изменений в российские нормативно-правовые документы.</w:t>
      </w:r>
    </w:p>
    <w:p>
      <w:pPr>
        <w:pStyle w:val="TextBody"/>
        <w:rPr/>
      </w:pPr>
      <w:r>
        <w:rPr/>
        <w:t>По линии Детского фонда ООН (ЮНИСЕФ) и Фонда ООН по народонаселению (ЮНФПА):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работе руководящих органов – Исполнительных советах Фондов – для выработки международных подходов в сфере защиты прав детей и стратегии развития народонаселения;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определение приоритетов проектной деятельности Фондов в странах и регионах мира (в 2010-2011 гг. – партнерские программы: «Основа финансовой грамотности для детей и семей, находящихся в трудной жизненной ситуации», «Формирования толерантного отношения к детям-инвалидам», «Музейная арт-терапия для детей, нуждающихся в социальной реабилитации»; и т.д.)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в связи с наращиванием экономического и донорского потенциала России в настоящее время существует необходимость пересмотра отношений с Фондами для перевода их в плоскость равноправного партнерства, что отвечает принципам, зафиксированным в Концепции участия Российской Федерации в содействии международному развитию.</w:t>
      </w:r>
    </w:p>
    <w:p>
      <w:pPr>
        <w:pStyle w:val="TextBody"/>
        <w:rPr/>
      </w:pPr>
      <w:r>
        <w:rPr/>
        <w:t>По линии Международной ассоциации социального обеспечения (</w:t>
      </w:r>
      <w:hyperlink r:id="rId8">
        <w:r>
          <w:rPr>
            <w:rStyle w:val="InternetLink"/>
          </w:rPr>
          <w:t>МАСО</w:t>
        </w:r>
      </w:hyperlink>
      <w:r>
        <w:rPr/>
        <w:t>):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российских представителей в работе уставных органов Ассоциации (Бюро и Совет МАСО), 12 технических комитетов;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регулярное обновление информации о Российской Федерации в международном справочнике «Программы социального обеспечения в мире»;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участие в работе высшего органа Ассоциации – Генеральной Ассамблее МАСО (очередная сессия пройдет 10-15 ноября 2013 г. в Катаре, Доха).</w:t>
      </w:r>
    </w:p>
    <w:p>
      <w:pPr>
        <w:pStyle w:val="TextBody"/>
        <w:rPr/>
      </w:pPr>
      <w:r>
        <w:rPr/>
        <w:t xml:space="preserve">В рамках сотрудничества с </w:t>
      </w:r>
      <w:hyperlink r:id="rId9">
        <w:r>
          <w:rPr>
            <w:rStyle w:val="InternetLink"/>
          </w:rPr>
          <w:t>ООН</w:t>
        </w:r>
      </w:hyperlink>
      <w:r>
        <w:rPr/>
        <w:t>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создание национальных инструментов - межведомственных комиссий - для анализа и принятия решений по проблемам, обсуждаемым в рамках деятельности комитетов и комиссий ООН (выполнение Декларации тысячелетия на социально-экономическом и антикризисном направлениях деятельности ООН);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подготовке и представлении национальных докладов по компетенции Министерства в рамках заседаний Комитетов ООН;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анализ возможности, подготовка и ратификация конвенций ООН, факультативных протоколов ООН (ратификация Конвенции о правах инвалидов в 2012 г.).</w:t>
      </w:r>
    </w:p>
    <w:p>
      <w:pPr>
        <w:pStyle w:val="TextBody"/>
        <w:rPr/>
      </w:pPr>
      <w:r>
        <w:rPr>
          <w:rStyle w:val="StrongEmphasis"/>
        </w:rPr>
        <w:t>II. Многостороннее сотрудничество (глобальное и региональное):</w:t>
      </w:r>
      <w:r>
        <w:rPr/>
        <w:t xml:space="preserve"> </w:t>
      </w:r>
    </w:p>
    <w:p>
      <w:pPr>
        <w:pStyle w:val="TextBody"/>
        <w:rPr/>
      </w:pPr>
      <w:r>
        <w:rPr/>
        <w:t>По линии Группы восьми 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проведение мероприятий Министерства в рамках концепции председательства России в «Группе восьми» в 2014 г.</w:t>
      </w:r>
    </w:p>
    <w:p>
      <w:pPr>
        <w:pStyle w:val="TextBody"/>
        <w:rPr/>
      </w:pPr>
      <w:r>
        <w:rPr/>
        <w:t>По линии «Группы двадцати»</w:t>
      </w:r>
      <w:hyperlink r:id="rId10">
        <w:r>
          <w:rPr>
            <w:rStyle w:val="InternetLink"/>
          </w:rPr>
          <w:t>:</w:t>
        </w:r>
      </w:hyperlink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ежегодной встрече министров труда и занятости стран «Группы 20» и подготовительных встречах шерпов «двадцатки» по труду (последняя встреча министров состоялась в мае 2012 г. в Гвадалахаре, Мексика);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работе Целевой группы по занятости;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подготовка по компетенции Министерства отчетных докладов в рамках системы мониторинга реализации решений саммита «двадцатки».</w:t>
      </w:r>
    </w:p>
    <w:p>
      <w:pPr>
        <w:pStyle w:val="TextBody"/>
        <w:rPr/>
      </w:pPr>
      <w:r>
        <w:rPr/>
        <w:t>По линии Европейского союза: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участие в переговорном процессе в рамках подготовки и заключения Нового базового соглашения Россия – ЕС.</w:t>
      </w:r>
    </w:p>
    <w:p>
      <w:pPr>
        <w:pStyle w:val="TextBody"/>
        <w:rPr/>
      </w:pPr>
      <w:r>
        <w:rPr/>
        <w:t>По линии Совета Европы: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и направление в Секретариат Совета Европы ежегодного тематического национального отчета о выполнении обязательств, взятых при ратификации Хартии во исполнение Федерального закона от 3 июня 2009 года № 101-ФЗ «О ратификации Европейской социальной хартии»;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к подписанию Европейского кодекса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региональных семинаров и совещаний по Европейской социальной хартии и Европейскому кодексу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участие в заседаниях рабочих органов Совета Европы.</w:t>
      </w:r>
    </w:p>
    <w:p>
      <w:pPr>
        <w:pStyle w:val="TextBody"/>
        <w:rPr/>
      </w:pPr>
      <w:r>
        <w:rPr/>
        <w:t>По линии Организации экономического сотрудничества и развития (ОЭСР):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мероприятиях по компетенции Министерства в рамках переговорного процесса по присоединению Российской Федерации к ОЭСР;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профильных заседаниях комитетов и рабочих групп ОЭСР, встречах министров, а также тематических встречах высокого уровня;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организация и проведение заседаний Межведомственной рабочей группы по подготовке предложений по вопросам, рассматриваемым Комитетом ОЭСР по страхованию и негосударственным (частным) пенсиям в рамках переговорного процесса по присоединению Российской Федерации к ОЭСР;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участие в подготовке информационно-справочных периодических изданий, включающих данные по Российской Федерации, а также соответствующих тематических обзоров по Российской Федерации.</w:t>
      </w:r>
    </w:p>
    <w:p>
      <w:pPr>
        <w:pStyle w:val="TextBody"/>
        <w:rPr/>
      </w:pPr>
      <w:r>
        <w:rPr/>
        <w:t>По линии Форума «Азиатско-Тихоокеанское экономическое сотрудничество» (АТЭС):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организация и проведение заседания Рабочей группы АТЭС по развитию людских ресурсов в рамках председательства Российской Федерации в форуме АТЭС в 2012 году;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реализация проектных предложений и выдвижение инициатив по компетенции Министерства в соответствии с основными приоритетами российского председательства в АТЭС в 2012 году;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ежеквартальных отчетов по выполнению Концепции председательства Российской Федерации в Форуме;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участие в заседаниях профильных рабочих групп Форума, встречах министров труда и занятости, подготовке итоговых документов мероприятий.</w:t>
      </w:r>
    </w:p>
    <w:p>
      <w:pPr>
        <w:pStyle w:val="TextBody"/>
        <w:rPr/>
      </w:pPr>
      <w:r>
        <w:rPr/>
        <w:t>По линии «Азиатско-Европейского Форума» (ASEM):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участие во встречах министров труда, заседаниях старших должностных лиц, форумах высокого уровня и технических семинарах Форума.</w:t>
      </w:r>
    </w:p>
    <w:p>
      <w:pPr>
        <w:pStyle w:val="TextBody"/>
        <w:rPr/>
      </w:pPr>
      <w:r>
        <w:rPr>
          <w:rStyle w:val="StrongEmphasis"/>
        </w:rPr>
        <w:t>III. Сотрудничество с государствами-участниками Содружества Независимых Государств (СНГ):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документов на заседания Совета глав государств СНГ, Совета глав правительств СНГ, Экономического совета СНГ, Консультативного Совета по труду, миграции и социальной защиты населения государств-участников СНГ и выполнение принятых решений в части компетенции Министерства;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работе Консультативного Совета по труду, миграции и социальной защиты населения государств-участников СНГ, рабочих группах по подготовке документов в соответствии с принятыми решениями и продолжении работы по адаптации многосторонних договоренностей о льготах ветеранам войны и гарантиям прав граждан в области пенсионного обеспечения;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реализация Плана мероприятий по реализации второго этапа (2012-2015гг.) Стратегии экономического развития Содружества Независимых Государств на период до 2020 года;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реализация Плана основных мероприятий по реализации Концепции дальнейшего развития Содружества Независимых Государств;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разработка проектов Плана мероприятий по реализации Концепции согласованной социальной и демографической политики государств – участников СНГ;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разработка Концепции поэтапного формирования общего рынка труда и регулирования миграции рабочей силы государств-участников СНГ;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разработка нормативов «качества жизни» в соответствии с международной практикой;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разработка Соглашения о принципах сближения законодательства в области занятости населения и трудовой миграции государств - участников СНГ;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подготовка предложений по разработке механизмов реализации программ занятости и создания новых рабочих мест; созданию системы мониторинга и оперативного обмена информацией о состоянии национальных рынков труда и наличии вакантных рабочих мест.</w:t>
      </w:r>
    </w:p>
    <w:p>
      <w:pPr>
        <w:pStyle w:val="TextBody"/>
        <w:rPr/>
      </w:pPr>
      <w:r>
        <w:rPr/>
        <w:t xml:space="preserve">Евразийское экономическое сообщество (ЕврАзЭС) (Республика Беларусь, Республика Казахстан, Кыргызская Республика, Российская Федерация, Республика Таджикистан)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подготовка документов по компетенции Министерства на заседания Межгоссовета ЕврАзЭС, Комиссии постоянных представителей при ЕврАзЭС, Интеграционного Комитета ЕврАзЭС, Совета по социальной политике при Интеграционном комитете ЕврАзЭС;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выполнение мероприятий на 2011-2013 и последующие годы по реализации Приоритетных направлений развития ЕврАзЭС и Плана первоочередных мероприятий по реализации Концепции согласованной социальной политики государств-членов ЕврАзЭС;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участие российских представителей в работе заседания Совета по социальной политике при Интеграционном комитете ЕврАзЭС.</w:t>
      </w:r>
    </w:p>
    <w:p>
      <w:pPr>
        <w:pStyle w:val="TextBody"/>
        <w:rPr/>
      </w:pPr>
      <w:r>
        <w:rPr/>
        <w:t>Единое экономическое пространство (ЕЭП) (Республика Беларусь, Республика Казахстан, Российская Федерация)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выполнение мероприятий Календарного плана разработки документов в целях реализации Соглашений, формирующих Единое экономическое пространство.</w:t>
      </w:r>
    </w:p>
    <w:p>
      <w:pPr>
        <w:pStyle w:val="TextBody"/>
        <w:rPr/>
      </w:pPr>
      <w:r>
        <w:rPr/>
        <w:t>Сотрудничество в рамках Союзного государства (Республика Беларусь, Российская Федерация)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выполнение мероприятий по сотрудничеству в социально-трудовой сфере с Республикой Беларусь по решениям Совета Министров, Высшего Государственного Совета Союзного государства;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Постановления Совета Министров Союзного государства </w:t>
        <w:br/>
        <w:t>(от 06.10.2011г. № 22) по итогам рассмотрения программы Союзного государства «Совместная деятельность по дальнейшему сближению законодательства в социально-трудовой сфере и уровней социальных гарантий граждан Беларуси и России»;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реализация Плана мероприятий по реализации Концепции социального развития Союзного государства на 2011 – 2015 гг.</w:t>
      </w:r>
    </w:p>
    <w:p>
      <w:pPr>
        <w:pStyle w:val="TextBody"/>
        <w:rPr/>
      </w:pPr>
      <w:r>
        <w:rPr/>
        <w:t>I</w:t>
      </w:r>
      <w:r>
        <w:rPr>
          <w:rStyle w:val="StrongEmphasis"/>
        </w:rPr>
        <w:t>V. В рамках двустороннего сотрудничества:</w:t>
      </w:r>
    </w:p>
    <w:p>
      <w:pPr>
        <w:pStyle w:val="TextBody"/>
        <w:rPr/>
      </w:pPr>
      <w:r>
        <w:rPr/>
        <w:t>Со странами: США, Германия, Франция, Австрия, Индия, Турция, Корея, Болгария, Испания, Израиль, Чехия, Венгрия, Латвия, Литва, Эстония, Сербия, Белоруссия, Украина, Армения, Азербайджан, Казахстан, Таджикистан, Молдова, Монголия, Киргизия, Туркмения, Узбекистан, Абхазия и Южная Осетия осуществляется: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выполнение мероприятий, предусмотренных межправительственными и межминистерскими соглашениями, декларациями о намерениях и меморандумами о взаимопонимании и сотрудничестве, совместными программами действий в социально-трудовой сфере;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двусторонних переговоров на высоком уровне, на уровне департаментов Министерства, заинтересованных федеральных фондов и службы по вопросам сотрудничества в социально-трудовой сфере;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в работе Российской части межправительственных смешанных комиссий по торгово-экономическому, научно-техническому и культурному сотрудничеству;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сотрудничество в области социального обеспечения по развитию правовой базы международного сотрудничества в целях реализации государственной политики Российской Федерации по защите интересов соотечественников за рубежом (гарантии в области социального обеспечения и обязательного (государственного) социального страхования по предоставлению пенсий и пособий).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.org/russian/" TargetMode="External"/><Relationship Id="rId3" Type="http://schemas.openxmlformats.org/officeDocument/2006/relationships/hyperlink" Target="http://www.ilo.org/global/lang--en/index.htm" TargetMode="External"/><Relationship Id="rId4" Type="http://schemas.openxmlformats.org/officeDocument/2006/relationships/hyperlink" Target="http://www.issa.int/" TargetMode="External"/><Relationship Id="rId5" Type="http://schemas.openxmlformats.org/officeDocument/2006/relationships/hyperlink" Target="http://www.unicef.org/" TargetMode="External"/><Relationship Id="rId6" Type="http://schemas.openxmlformats.org/officeDocument/2006/relationships/hyperlink" Target="http://www.un.org/russian/ecosoc/unfpa/index.html" TargetMode="External"/><Relationship Id="rId7" Type="http://schemas.openxmlformats.org/officeDocument/2006/relationships/hyperlink" Target="http://www.ilo.org/global/lang--en/index.htm" TargetMode="External"/><Relationship Id="rId8" Type="http://schemas.openxmlformats.org/officeDocument/2006/relationships/hyperlink" Target="http://www.issa.int/" TargetMode="External"/><Relationship Id="rId9" Type="http://schemas.openxmlformats.org/officeDocument/2006/relationships/hyperlink" Target="http://www.un.org/russian/" TargetMode="External"/><Relationship Id="rId10" Type="http://schemas.openxmlformats.org/officeDocument/2006/relationships/hyperlink" Target="http://www.g8russia.ru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